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4CB3">
      <w:pPr>
        <w:spacing w:beforeLines="50" w:afterLines="50"/>
        <w:jc w:val="center"/>
        <w:rPr>
          <w:rFonts w:hint="eastAsia" w:ascii="Times New Roman" w:hAnsi="Times New Roman" w:eastAsia="方正公文小标宋" w:cs="Times New Roman"/>
          <w:sz w:val="44"/>
          <w:szCs w:val="44"/>
          <w:lang w:eastAsia="zh-CN"/>
        </w:rPr>
      </w:pPr>
      <w:r>
        <w:rPr>
          <w:rFonts w:ascii="Times New Roman" w:hAnsi="Times New Roman" w:eastAsia="方正公文小标宋" w:cs="Times New Roman"/>
          <w:sz w:val="44"/>
          <w:szCs w:val="44"/>
        </w:rPr>
        <w:t>江苏省房屋土地资产租金评估指引</w:t>
      </w:r>
    </w:p>
    <w:p w14:paraId="3D0D90D2">
      <w:pPr>
        <w:spacing w:beforeLines="50"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7088FB69">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第一条</w:t>
      </w:r>
      <w:r>
        <w:rPr>
          <w:rFonts w:ascii="Times New Roman" w:hAnsi="Times New Roman" w:eastAsia="方正仿宋_GBK" w:cs="Times New Roman"/>
          <w:sz w:val="32"/>
          <w:szCs w:val="32"/>
        </w:rPr>
        <w:t>为规范本省房屋土地资产租金评估行为，保障</w:t>
      </w:r>
      <w:r>
        <w:rPr>
          <w:rFonts w:hint="eastAsia" w:ascii="Times New Roman" w:hAnsi="Times New Roman" w:eastAsia="方正仿宋_GBK" w:cs="Times New Roman"/>
          <w:sz w:val="32"/>
          <w:szCs w:val="32"/>
        </w:rPr>
        <w:t>租金</w:t>
      </w:r>
      <w:r>
        <w:rPr>
          <w:rFonts w:ascii="Times New Roman" w:hAnsi="Times New Roman" w:eastAsia="方正仿宋_GBK" w:cs="Times New Roman"/>
          <w:sz w:val="32"/>
          <w:szCs w:val="32"/>
        </w:rPr>
        <w:t>评估质量，根据《中华人民共和国民法典》《中华人民共和国城市房地产管理法》《中华人民共和国资产评估法》《住房租赁条例》等法律法规以及《房地产估价规范》等标准规范，结合本省房屋土地资产租金评估实际，制定本指引。</w:t>
      </w:r>
    </w:p>
    <w:p w14:paraId="4E7C16C2">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第二条</w:t>
      </w:r>
      <w:r>
        <w:rPr>
          <w:rFonts w:ascii="Times New Roman" w:hAnsi="Times New Roman" w:eastAsia="方正仿宋_GBK" w:cs="Times New Roman"/>
          <w:sz w:val="32"/>
          <w:szCs w:val="32"/>
        </w:rPr>
        <w:t>房地产估价机构（以下称估价机构）及其注册房地产估价师（以下称估价师）根据委托对本省行政</w:t>
      </w:r>
      <w:r>
        <w:rPr>
          <w:rFonts w:hint="eastAsia" w:ascii="Times New Roman" w:hAnsi="Times New Roman" w:eastAsia="方正仿宋_GBK" w:cs="Times New Roman"/>
          <w:sz w:val="32"/>
          <w:szCs w:val="32"/>
        </w:rPr>
        <w:t>区域</w:t>
      </w:r>
      <w:r>
        <w:rPr>
          <w:rFonts w:ascii="Times New Roman" w:hAnsi="Times New Roman" w:eastAsia="方正仿宋_GBK" w:cs="Times New Roman"/>
          <w:sz w:val="32"/>
          <w:szCs w:val="32"/>
        </w:rPr>
        <w:t>内的房屋土地资产租金进行评估和咨询，以及本省房地产估价行业协会对租金评估进行专业技术评审，适用本指引。</w:t>
      </w:r>
    </w:p>
    <w:p w14:paraId="0AACC17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本指引所称房屋土地资产，包括土地、建筑物和其他定着物，以及依托土地或建筑物、定着物存在的特定区域、空间、场地等。</w:t>
      </w:r>
    </w:p>
    <w:p w14:paraId="278B4C4D">
      <w:pPr>
        <w:ind w:firstLine="640" w:firstLineChars="200"/>
        <w:rPr>
          <w:rFonts w:ascii="Times New Roman" w:hAnsi="Times New Roman" w:eastAsia="仿宋" w:cs="Times New Roman"/>
          <w:sz w:val="32"/>
          <w:szCs w:val="32"/>
        </w:rPr>
      </w:pPr>
      <w:r>
        <w:rPr>
          <w:rFonts w:ascii="Times New Roman" w:hAnsi="Times New Roman" w:eastAsia="方正仿宋_GBK" w:cs="Times New Roman"/>
          <w:sz w:val="32"/>
          <w:szCs w:val="32"/>
        </w:rPr>
        <w:t>本指引所称租金，是指出租人按租赁合同约定的交易条件，将租赁物交付承租人使用、收益，承租人定期向出租人支付的使用对价。根据交易习惯和租赁物的不同，租金又被称为租赁价格、使用费、房租、场地租金、房地产租金等。</w:t>
      </w:r>
    </w:p>
    <w:p w14:paraId="30C6F2EC">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第三条</w:t>
      </w:r>
      <w:r>
        <w:rPr>
          <w:rFonts w:ascii="Times New Roman" w:hAnsi="Times New Roman" w:eastAsia="方正仿宋_GBK" w:cs="Times New Roman"/>
          <w:sz w:val="32"/>
          <w:szCs w:val="32"/>
        </w:rPr>
        <w:t>估价机构和估价师开展鉴证性房屋土地资产租金评估业务，应当遵守法律法规和房地产估价标准规范，遵循独立、客观、公正的</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基本原则。</w:t>
      </w:r>
    </w:p>
    <w:p w14:paraId="218BACC3">
      <w:pPr>
        <w:spacing w:beforeLines="50" w:afterLines="50"/>
        <w:jc w:val="center"/>
        <w:rPr>
          <w:rFonts w:ascii="Times New Roman" w:hAnsi="Times New Roman" w:eastAsia="黑体" w:cs="Times New Roman"/>
          <w:sz w:val="32"/>
          <w:szCs w:val="40"/>
        </w:rPr>
      </w:pPr>
      <w:r>
        <w:rPr>
          <w:rFonts w:ascii="Times New Roman" w:hAnsi="Times New Roman" w:eastAsia="黑体" w:cs="Times New Roman"/>
          <w:sz w:val="32"/>
          <w:szCs w:val="40"/>
        </w:rPr>
        <w:t xml:space="preserve">第二章  </w:t>
      </w:r>
      <w:r>
        <w:rPr>
          <w:rFonts w:hint="eastAsia" w:ascii="Times New Roman" w:hAnsi="Times New Roman" w:eastAsia="黑体" w:cs="Times New Roman"/>
          <w:sz w:val="32"/>
          <w:szCs w:val="40"/>
        </w:rPr>
        <w:t>租金</w:t>
      </w:r>
      <w:r>
        <w:rPr>
          <w:rFonts w:ascii="Times New Roman" w:hAnsi="Times New Roman" w:eastAsia="黑体" w:cs="Times New Roman"/>
          <w:sz w:val="32"/>
          <w:szCs w:val="40"/>
        </w:rPr>
        <w:t>评估基本事项</w:t>
      </w:r>
    </w:p>
    <w:p w14:paraId="3FC208B8">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40"/>
        </w:rPr>
        <w:t>第四条</w:t>
      </w:r>
      <w:r>
        <w:rPr>
          <w:rFonts w:ascii="Times New Roman" w:hAnsi="Times New Roman" w:eastAsia="方正仿宋_GBK" w:cs="Times New Roman"/>
          <w:sz w:val="32"/>
          <w:szCs w:val="32"/>
        </w:rPr>
        <w:t>估价机构在接受委托时，应要求</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委托人出具委托书。委托书需明确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目的、价值时点、财产范围、价值类型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租赁条件</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w:t>
      </w:r>
    </w:p>
    <w:p w14:paraId="75D52BDB">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第五条</w:t>
      </w:r>
      <w:r>
        <w:rPr>
          <w:rFonts w:ascii="Times New Roman" w:hAnsi="Times New Roman" w:eastAsia="方正仿宋_GBK" w:cs="Times New Roman"/>
          <w:sz w:val="32"/>
          <w:szCs w:val="32"/>
        </w:rPr>
        <w:t>估价师应根据委托人</w:t>
      </w:r>
      <w:r>
        <w:rPr>
          <w:rFonts w:hint="eastAsia" w:ascii="Times New Roman" w:hAnsi="Times New Roman" w:eastAsia="方正仿宋_GBK" w:cs="Times New Roman"/>
          <w:sz w:val="32"/>
          <w:szCs w:val="32"/>
        </w:rPr>
        <w:t>对租金评估的具体需要确定估价目的，估价目的应</w:t>
      </w:r>
      <w:r>
        <w:rPr>
          <w:rFonts w:ascii="Times New Roman" w:hAnsi="Times New Roman" w:eastAsia="方正仿宋_GBK" w:cs="Times New Roman"/>
          <w:sz w:val="32"/>
          <w:szCs w:val="32"/>
        </w:rPr>
        <w:t>清晰界定和表述</w:t>
      </w:r>
      <w:r>
        <w:rPr>
          <w:rFonts w:hint="eastAsia" w:ascii="Times New Roman" w:hAnsi="Times New Roman" w:eastAsia="方正仿宋_GBK" w:cs="Times New Roman"/>
          <w:sz w:val="32"/>
          <w:szCs w:val="32"/>
        </w:rPr>
        <w:t>估价报告的用途</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通过委托书确认。</w:t>
      </w:r>
    </w:p>
    <w:p w14:paraId="75E07E80">
      <w:pPr>
        <w:ind w:firstLine="640" w:firstLineChars="200"/>
        <w:rPr>
          <w:rFonts w:ascii="Times New Roman" w:hAnsi="Times New Roman" w:eastAsia="方正仿宋_GBK" w:cs="Times New Roman"/>
          <w:sz w:val="32"/>
          <w:szCs w:val="32"/>
          <w:highlight w:val="yellow"/>
        </w:rPr>
      </w:pPr>
      <w:r>
        <w:rPr>
          <w:rFonts w:hint="eastAsia" w:ascii="黑体" w:hAnsi="黑体" w:eastAsia="黑体" w:cs="黑体"/>
          <w:sz w:val="32"/>
          <w:szCs w:val="32"/>
        </w:rPr>
        <w:t>第六条</w:t>
      </w:r>
      <w:r>
        <w:rPr>
          <w:rFonts w:ascii="Times New Roman" w:hAnsi="Times New Roman" w:eastAsia="方正仿宋_GBK" w:cs="Times New Roman"/>
          <w:sz w:val="32"/>
          <w:szCs w:val="32"/>
        </w:rPr>
        <w:t>价值时点应根据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目的确定，一般具体到日，由委托人在委托书中明确，委托人未明确的，可将实地查勘完成之日作为价值时点。</w:t>
      </w:r>
    </w:p>
    <w:p w14:paraId="62C5193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委托人明确的价值时点与实地查勘完成之日不一致的，应当在</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报告“估价假设和限制条件”的“一般假设”中就实地查勘完成之日的</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对象状况与价值时点的状况是否相同进行说明。</w:t>
      </w:r>
    </w:p>
    <w:p w14:paraId="6804AAD1">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第七条</w:t>
      </w:r>
      <w:r>
        <w:rPr>
          <w:rFonts w:ascii="Times New Roman" w:hAnsi="Times New Roman" w:eastAsia="方正仿宋_GBK" w:cs="Times New Roman"/>
          <w:sz w:val="32"/>
          <w:szCs w:val="32"/>
        </w:rPr>
        <w:t>估价师应当在委托人指定及提供有关资料的基础上，根据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目的界定</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对象财产范围，</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通过委托书确认。</w:t>
      </w:r>
    </w:p>
    <w:p w14:paraId="4F794D8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房屋土地资产租金评估的财产范围一般为不动产及其权益。如委托评估范围包含家具家电、机器设备等非不动产类财产的，或者不包含属于不动产的房屋配套设施设备、装饰装修、相关场地等财产的，应在委托书和</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报告中说明。</w:t>
      </w:r>
    </w:p>
    <w:p w14:paraId="70AF2621">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第八条</w:t>
      </w:r>
      <w:r>
        <w:rPr>
          <w:rFonts w:ascii="Times New Roman" w:hAnsi="Times New Roman" w:eastAsia="方正仿宋_GBK" w:cs="Times New Roman"/>
          <w:sz w:val="32"/>
          <w:szCs w:val="32"/>
        </w:rPr>
        <w:t>租金评估价值类型应根据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目的确定，一般为市场租金，也可根据委托需求评估其他特定租金。</w:t>
      </w:r>
    </w:p>
    <w:p w14:paraId="3583ADE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市场租金是指</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对象在竞争的公开市场上经过适当营销后，由熟悉情况、谨慎行事且不受强迫的交易双方，在</w:t>
      </w:r>
      <w:r>
        <w:rPr>
          <w:rFonts w:hint="eastAsia" w:ascii="Times New Roman" w:hAnsi="Times New Roman" w:eastAsia="方正仿宋_GBK" w:cs="Times New Roman"/>
          <w:sz w:val="32"/>
          <w:szCs w:val="32"/>
        </w:rPr>
        <w:t>已明确</w:t>
      </w:r>
      <w:r>
        <w:rPr>
          <w:rFonts w:ascii="Times New Roman" w:hAnsi="Times New Roman" w:eastAsia="方正仿宋_GBK" w:cs="Times New Roman"/>
          <w:sz w:val="32"/>
          <w:szCs w:val="32"/>
        </w:rPr>
        <w:t>的租赁条件下以公平交易方式在价值时点自愿达成交易的金额。其中</w:t>
      </w:r>
      <w:r>
        <w:rPr>
          <w:rFonts w:hint="eastAsia" w:ascii="Times New Roman" w:hAnsi="Times New Roman" w:eastAsia="方正仿宋_GBK" w:cs="Times New Roman"/>
          <w:sz w:val="32"/>
          <w:szCs w:val="32"/>
        </w:rPr>
        <w:t>已明确</w:t>
      </w:r>
      <w:r>
        <w:rPr>
          <w:rFonts w:ascii="Times New Roman" w:hAnsi="Times New Roman" w:eastAsia="方正仿宋_GBK" w:cs="Times New Roman"/>
          <w:sz w:val="32"/>
          <w:szCs w:val="32"/>
        </w:rPr>
        <w:t>的租赁条件包括适当的租赁条件和特定的租赁条件，适当的租赁条件指与</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对象类似的资产出租时，市场上租赁双方通常约定的主要租赁条款。</w:t>
      </w:r>
      <w:r>
        <w:rPr>
          <w:rFonts w:hint="eastAsia" w:ascii="Times New Roman" w:hAnsi="Times New Roman" w:eastAsia="方正仿宋_GBK" w:cs="Times New Roman"/>
          <w:sz w:val="32"/>
          <w:szCs w:val="32"/>
        </w:rPr>
        <w:t>估价采用</w:t>
      </w:r>
      <w:r>
        <w:rPr>
          <w:rFonts w:ascii="Times New Roman" w:hAnsi="Times New Roman" w:eastAsia="方正仿宋_GBK" w:cs="Times New Roman"/>
          <w:sz w:val="32"/>
          <w:szCs w:val="32"/>
        </w:rPr>
        <w:t>的租赁条件应当在</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报告“估价假设和限制条件”中进行界定和说明。</w:t>
      </w:r>
    </w:p>
    <w:p w14:paraId="457FDB5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其他特定租金包括但不限于实际成本租金。实际成本租金是指根据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对象实际发生的购建成本或取得成本、改造成本以及运营成本、税费等，采用成</w:t>
      </w:r>
      <w:bookmarkStart w:id="0" w:name="_GoBack"/>
      <w:bookmarkEnd w:id="0"/>
      <w:r>
        <w:rPr>
          <w:rFonts w:ascii="Times New Roman" w:hAnsi="Times New Roman" w:eastAsia="方正仿宋_GBK" w:cs="Times New Roman"/>
          <w:sz w:val="32"/>
          <w:szCs w:val="32"/>
        </w:rPr>
        <w:t>本法测算的租金。</w:t>
      </w:r>
    </w:p>
    <w:p w14:paraId="1C6A67ED">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第九条</w:t>
      </w:r>
      <w:r>
        <w:rPr>
          <w:rFonts w:ascii="Times New Roman" w:hAnsi="Times New Roman" w:eastAsia="方正仿宋_GBK" w:cs="Times New Roman"/>
          <w:sz w:val="32"/>
          <w:szCs w:val="32"/>
        </w:rPr>
        <w:t>租金评估的价值内涵应根据</w:t>
      </w:r>
      <w:r>
        <w:rPr>
          <w:rFonts w:hint="eastAsia" w:ascii="Times New Roman" w:hAnsi="Times New Roman" w:eastAsia="方正仿宋_GBK" w:cs="Times New Roman"/>
          <w:sz w:val="32"/>
          <w:szCs w:val="32"/>
        </w:rPr>
        <w:t>估价目的、</w:t>
      </w:r>
      <w:r>
        <w:rPr>
          <w:rFonts w:ascii="Times New Roman" w:hAnsi="Times New Roman" w:eastAsia="方正仿宋_GBK" w:cs="Times New Roman"/>
          <w:sz w:val="32"/>
          <w:szCs w:val="32"/>
        </w:rPr>
        <w:t>财产范围、租赁条件</w:t>
      </w:r>
      <w:r>
        <w:rPr>
          <w:rFonts w:hint="eastAsia" w:ascii="Times New Roman" w:hAnsi="Times New Roman" w:eastAsia="方正仿宋_GBK" w:cs="Times New Roman"/>
          <w:sz w:val="32"/>
          <w:szCs w:val="32"/>
        </w:rPr>
        <w:t>以及用途和</w:t>
      </w:r>
      <w:r>
        <w:rPr>
          <w:rFonts w:ascii="Times New Roman" w:hAnsi="Times New Roman" w:eastAsia="方正仿宋_GBK" w:cs="Times New Roman"/>
          <w:sz w:val="32"/>
          <w:szCs w:val="32"/>
        </w:rPr>
        <w:t>某种权利特征等进行说明。</w:t>
      </w:r>
    </w:p>
    <w:p w14:paraId="2B04C3C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租金评估应重点关注租赁条件中改造费、维修费、保险费、物业费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能耗费以及租赁税费</w:t>
      </w:r>
      <w:r>
        <w:rPr>
          <w:rFonts w:hint="eastAsia" w:ascii="Times New Roman" w:hAnsi="Times New Roman" w:eastAsia="方正仿宋_GBK" w:cs="Times New Roman"/>
          <w:sz w:val="32"/>
          <w:szCs w:val="32"/>
        </w:rPr>
        <w:t>等费用</w:t>
      </w:r>
      <w:r>
        <w:rPr>
          <w:rFonts w:ascii="Times New Roman" w:hAnsi="Times New Roman" w:eastAsia="方正仿宋_GBK" w:cs="Times New Roman"/>
          <w:sz w:val="32"/>
          <w:szCs w:val="32"/>
        </w:rPr>
        <w:t>的承担方，并在价值内涵中说明。不同</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方法测算结果的价值内涵应当与</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报告说明的价值内涵一致。</w:t>
      </w:r>
    </w:p>
    <w:p w14:paraId="66294FBF">
      <w:pPr>
        <w:ind w:firstLine="640" w:firstLineChars="200"/>
        <w:rPr>
          <w:rFonts w:ascii="Times New Roman" w:hAnsi="Times New Roman" w:eastAsia="仿宋" w:cs="Times New Roman"/>
          <w:sz w:val="32"/>
          <w:szCs w:val="32"/>
        </w:rPr>
      </w:pPr>
      <w:r>
        <w:rPr>
          <w:rFonts w:ascii="Times New Roman" w:hAnsi="Times New Roman" w:eastAsia="方正仿宋_GBK" w:cs="Times New Roman"/>
          <w:sz w:val="32"/>
          <w:szCs w:val="32"/>
        </w:rPr>
        <w:t>租金评估结果通常含增值税，如</w:t>
      </w:r>
      <w:r>
        <w:rPr>
          <w:rFonts w:hint="eastAsia" w:ascii="Times New Roman" w:hAnsi="Times New Roman" w:eastAsia="方正仿宋_GBK" w:cs="Times New Roman"/>
          <w:sz w:val="32"/>
          <w:szCs w:val="32"/>
        </w:rPr>
        <w:t>委托评估不含增值税租金的，应</w:t>
      </w:r>
      <w:r>
        <w:rPr>
          <w:rFonts w:ascii="Times New Roman" w:hAnsi="Times New Roman" w:eastAsia="方正仿宋_GBK" w:cs="Times New Roman"/>
          <w:sz w:val="32"/>
          <w:szCs w:val="32"/>
        </w:rPr>
        <w:t>在价值内涵中说明。</w:t>
      </w:r>
    </w:p>
    <w:p w14:paraId="3C2D1DA5">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第十条</w:t>
      </w:r>
      <w:r>
        <w:rPr>
          <w:rFonts w:ascii="Times New Roman" w:hAnsi="Times New Roman" w:eastAsia="方正仿宋_GBK" w:cs="Times New Roman"/>
          <w:sz w:val="32"/>
          <w:szCs w:val="32"/>
        </w:rPr>
        <w:t>估价机构和估价师应向委托人收集</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基本资料。</w:t>
      </w:r>
    </w:p>
    <w:p w14:paraId="1A8FBD1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财产范围和租赁条件的不同，基本资料可能是下列范围的部分或全部：权属证明、出租方案、资产清单与账面原值、拟定的租赁合同、取得不动产的购入合同或租赁合同、改造成本概预算书或决算书、审计报告、招商运营方案、</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对象面积测绘报告、项目总平面图、建筑物分层分户平面图、专业服务合同、可行性研究报告以及其他相关资料。</w:t>
      </w:r>
    </w:p>
    <w:p w14:paraId="4BF18196">
      <w:pPr>
        <w:spacing w:beforeLines="50" w:afterLines="50"/>
        <w:jc w:val="center"/>
        <w:rPr>
          <w:rFonts w:ascii="Times New Roman" w:hAnsi="Times New Roman" w:eastAsia="黑体" w:cs="Times New Roman"/>
          <w:sz w:val="32"/>
          <w:szCs w:val="40"/>
        </w:rPr>
      </w:pPr>
      <w:r>
        <w:rPr>
          <w:rFonts w:ascii="Times New Roman" w:hAnsi="Times New Roman" w:eastAsia="黑体" w:cs="Times New Roman"/>
          <w:sz w:val="32"/>
          <w:szCs w:val="40"/>
        </w:rPr>
        <w:t xml:space="preserve">第三章  </w:t>
      </w:r>
      <w:r>
        <w:rPr>
          <w:rFonts w:hint="eastAsia" w:ascii="Times New Roman" w:hAnsi="Times New Roman" w:eastAsia="黑体" w:cs="Times New Roman"/>
          <w:sz w:val="32"/>
          <w:szCs w:val="40"/>
        </w:rPr>
        <w:t>租金</w:t>
      </w:r>
      <w:r>
        <w:rPr>
          <w:rFonts w:ascii="Times New Roman" w:hAnsi="Times New Roman" w:eastAsia="黑体" w:cs="Times New Roman"/>
          <w:sz w:val="32"/>
          <w:szCs w:val="40"/>
        </w:rPr>
        <w:t>评估方法</w:t>
      </w:r>
    </w:p>
    <w:p w14:paraId="6C77A68E">
      <w:pPr>
        <w:ind w:firstLine="640" w:firstLineChars="200"/>
        <w:rPr>
          <w:rFonts w:ascii="Times New Roman" w:hAnsi="Times New Roman" w:eastAsia="仿宋" w:cs="Times New Roman"/>
          <w:sz w:val="32"/>
          <w:szCs w:val="40"/>
        </w:rPr>
      </w:pPr>
      <w:r>
        <w:rPr>
          <w:rFonts w:hint="eastAsia" w:ascii="黑体" w:hAnsi="黑体" w:eastAsia="黑体" w:cs="黑体"/>
          <w:sz w:val="32"/>
          <w:szCs w:val="40"/>
        </w:rPr>
        <w:t>第十一条评估方法选用</w:t>
      </w:r>
    </w:p>
    <w:p w14:paraId="7B1ED13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（一）租金评估可选用比较法、剩余法、价值折算法、成本法等。选用评估方法时，应根据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目的、收集的</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资料、</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对象实际状况以及所在区域租赁市场状况，进行评估方法适用性分析，选用所有适用的评估方法进行</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w:t>
      </w:r>
    </w:p>
    <w:p w14:paraId="235343D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（二）租金评估方法</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选用应符合下列</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w:t>
      </w:r>
    </w:p>
    <w:p w14:paraId="11D3AE5F">
      <w:pPr>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对象有可比实例且不少于3个的，应选用比较法。</w:t>
      </w:r>
    </w:p>
    <w:p w14:paraId="11C614D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对象整体出租后可以通过分割出租或直接开展商服经营、生产经营</w:t>
      </w:r>
      <w:r>
        <w:rPr>
          <w:rFonts w:hint="eastAsia" w:ascii="Times New Roman" w:hAnsi="Times New Roman" w:eastAsia="方正仿宋_GBK" w:cs="Times New Roman"/>
          <w:sz w:val="32"/>
          <w:szCs w:val="32"/>
        </w:rPr>
        <w:t>且</w:t>
      </w:r>
      <w:r>
        <w:rPr>
          <w:rFonts w:ascii="Times New Roman" w:hAnsi="Times New Roman" w:eastAsia="方正仿宋_GBK" w:cs="Times New Roman"/>
          <w:sz w:val="32"/>
          <w:szCs w:val="32"/>
        </w:rPr>
        <w:t>达到最高最佳利用的，宜选用剩余法。</w:t>
      </w:r>
    </w:p>
    <w:p w14:paraId="4113A031">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可以</w:t>
      </w:r>
      <w:r>
        <w:rPr>
          <w:rFonts w:hint="eastAsia" w:ascii="Times New Roman" w:hAnsi="Times New Roman" w:eastAsia="方正仿宋_GBK" w:cs="Times New Roman"/>
          <w:sz w:val="32"/>
          <w:szCs w:val="32"/>
        </w:rPr>
        <w:t>通过</w:t>
      </w:r>
      <w:r>
        <w:rPr>
          <w:rFonts w:ascii="Times New Roman" w:hAnsi="Times New Roman" w:eastAsia="方正仿宋_GBK" w:cs="Times New Roman"/>
          <w:sz w:val="32"/>
          <w:szCs w:val="32"/>
        </w:rPr>
        <w:t>收益法以外的评估方法求得市场价值时，宜选用价值折算法。</w:t>
      </w:r>
    </w:p>
    <w:p w14:paraId="668F5496">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对象可假定为独立开发建设项目进行重新开发建设的，以及新建项目和承租后改造再出租的项目，宜选用成本法；当</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对象没有类似交易或交易很少，且类似资产没有租金等经济收入时，应选用成本法。</w:t>
      </w:r>
    </w:p>
    <w:p w14:paraId="50BDF71D">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.单独对整体租赁资产中土地、房屋、场地或其他构成部分的租金进行评估，可选用成本法</w:t>
      </w:r>
      <w:r>
        <w:rPr>
          <w:rFonts w:hint="eastAsia" w:ascii="Times New Roman" w:hAnsi="Times New Roman" w:eastAsia="方正仿宋_GBK" w:cs="Times New Roman"/>
          <w:sz w:val="32"/>
          <w:szCs w:val="32"/>
        </w:rPr>
        <w:t>、价值折算法、</w:t>
      </w:r>
      <w:r>
        <w:rPr>
          <w:rFonts w:ascii="Times New Roman" w:hAnsi="Times New Roman" w:eastAsia="方正仿宋_GBK" w:cs="Times New Roman"/>
          <w:sz w:val="32"/>
          <w:szCs w:val="32"/>
        </w:rPr>
        <w:t>剩余法。</w:t>
      </w:r>
    </w:p>
    <w:p w14:paraId="09BB025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6.鼓励探索应用其他科学方法对房屋土地资产租金进行评估。运用其他科学方法的，应在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中说明所用方法的名称、定义及其评估租金的理论依据、原理和操作步骤。</w:t>
      </w:r>
    </w:p>
    <w:p w14:paraId="00D2DAFD">
      <w:pPr>
        <w:ind w:firstLine="640" w:firstLineChars="200"/>
        <w:rPr>
          <w:rFonts w:ascii="Times New Roman" w:hAnsi="Times New Roman" w:eastAsia="方正楷体_GBK" w:cs="Times New Roman"/>
          <w:sz w:val="32"/>
          <w:szCs w:val="32"/>
        </w:rPr>
      </w:pPr>
      <w:r>
        <w:rPr>
          <w:rFonts w:hint="eastAsia" w:ascii="黑体" w:hAnsi="黑体" w:eastAsia="黑体" w:cs="黑体"/>
          <w:sz w:val="32"/>
          <w:szCs w:val="32"/>
        </w:rPr>
        <w:t>第十二条  比较法</w:t>
      </w:r>
    </w:p>
    <w:p w14:paraId="02DC608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（一）比较法是选取一定数量的可比实例，将它们与</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对象进行比较，根据其间的差异，对可比实例租金进行处理后得到</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租金的方法。采用比较法测算出的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租金可称为比较租金。</w:t>
      </w:r>
    </w:p>
    <w:p w14:paraId="7C50B08C">
      <w:pPr>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（二）可比实例应与</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用途相同，资产状况、租赁条件等与</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状况相似。可比实例的成交日期一般以租赁合同签订日或其在公开渠道公示的成交日为准，成交日期与价值时点相差</w:t>
      </w:r>
      <w:r>
        <w:rPr>
          <w:rFonts w:hint="eastAsia" w:ascii="Times New Roman" w:hAnsi="Times New Roman" w:eastAsia="方正仿宋_GBK" w:cs="Times New Roman"/>
          <w:sz w:val="32"/>
          <w:szCs w:val="32"/>
        </w:rPr>
        <w:t>宜在一年以内，</w:t>
      </w:r>
      <w:r>
        <w:rPr>
          <w:rFonts w:ascii="Times New Roman" w:hAnsi="Times New Roman" w:eastAsia="方正仿宋_GBK" w:cs="Times New Roman"/>
          <w:sz w:val="32"/>
          <w:szCs w:val="32"/>
        </w:rPr>
        <w:t>不得超过两年。</w:t>
      </w:r>
    </w:p>
    <w:p w14:paraId="0671E5B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（三）选取可比实例后，应建立比较基础，对可比实例成交价格进行标准化处理。需重点关注以下方面的处理：</w:t>
      </w:r>
    </w:p>
    <w:p w14:paraId="0073077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1.统一财产范围：</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可比实例与</w:t>
      </w:r>
      <w:r>
        <w:rPr>
          <w:rFonts w:hint="eastAsia" w:ascii="Times New Roman" w:hAnsi="Times New Roman" w:eastAsia="方正仿宋_GBK" w:cs="Times New Roman"/>
          <w:sz w:val="32"/>
          <w:szCs w:val="32"/>
        </w:rPr>
        <w:t>估价对象的</w:t>
      </w:r>
      <w:r>
        <w:rPr>
          <w:rFonts w:ascii="Times New Roman" w:hAnsi="Times New Roman" w:eastAsia="方正仿宋_GBK" w:cs="Times New Roman"/>
          <w:sz w:val="32"/>
          <w:szCs w:val="32"/>
        </w:rPr>
        <w:t>室内装饰装修、设施设备、家具家电、场地等</w:t>
      </w:r>
      <w:r>
        <w:rPr>
          <w:rFonts w:hint="eastAsia" w:ascii="Times New Roman" w:hAnsi="Times New Roman" w:eastAsia="方正仿宋_GBK" w:cs="Times New Roman"/>
          <w:sz w:val="32"/>
          <w:szCs w:val="32"/>
        </w:rPr>
        <w:t>状况</w:t>
      </w:r>
      <w:r>
        <w:rPr>
          <w:rFonts w:ascii="Times New Roman" w:hAnsi="Times New Roman" w:eastAsia="方正仿宋_GBK" w:cs="Times New Roman"/>
          <w:sz w:val="32"/>
          <w:szCs w:val="32"/>
        </w:rPr>
        <w:t>进行对比，消除财产范围不同造成的价格差异。</w:t>
      </w:r>
    </w:p>
    <w:p w14:paraId="7301106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2.统一税费负担：关注出租方租赁税费和物业费、能耗费的负担方式与</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的一致性，消除因此不同造成的价格差异。</w:t>
      </w:r>
    </w:p>
    <w:p w14:paraId="166F368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3.统一计租单位：区别建筑面积计租、使用面积计租、工位个数计租、套或间计租，以及月租金、日租金和货币种类等计租单位的差异，统一计租单位。</w:t>
      </w:r>
    </w:p>
    <w:p w14:paraId="598F5F1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4.统一支付条件：需将可比实例按月或按季、按半年、按年的租金支付时间，以及先付后用或先用后付的支付方式，与</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支付条件统一。</w:t>
      </w:r>
    </w:p>
    <w:p w14:paraId="566573C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5.统一租赁期限：在平均招租期（空置期）和免租期确定后，不同租赁期限下计算的空置损失率不同，从而影响短租和长租的实际租金。需根据以上影响，将可比实例相应租期下的租金统一调整为</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租期下的租金。</w:t>
      </w:r>
    </w:p>
    <w:p w14:paraId="7A51B81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6.统一租金增长率：租期超过一年时，不同定价策略下的</w:t>
      </w:r>
      <w:r>
        <w:rPr>
          <w:rFonts w:hint="eastAsia" w:ascii="Times New Roman" w:hAnsi="Times New Roman" w:eastAsia="方正仿宋_GBK" w:cs="Times New Roman"/>
          <w:sz w:val="32"/>
          <w:szCs w:val="32"/>
        </w:rPr>
        <w:t>首年</w:t>
      </w:r>
      <w:r>
        <w:rPr>
          <w:rFonts w:ascii="Times New Roman" w:hAnsi="Times New Roman" w:eastAsia="方正仿宋_GBK" w:cs="Times New Roman"/>
          <w:sz w:val="32"/>
          <w:szCs w:val="32"/>
        </w:rPr>
        <w:t>租金和</w:t>
      </w:r>
      <w:r>
        <w:rPr>
          <w:rFonts w:hint="eastAsia" w:ascii="Times New Roman" w:hAnsi="Times New Roman" w:eastAsia="方正仿宋_GBK" w:cs="Times New Roman"/>
          <w:sz w:val="32"/>
          <w:szCs w:val="32"/>
        </w:rPr>
        <w:t>租期内</w:t>
      </w:r>
      <w:r>
        <w:rPr>
          <w:rFonts w:ascii="Times New Roman" w:hAnsi="Times New Roman" w:eastAsia="方正仿宋_GBK" w:cs="Times New Roman"/>
          <w:sz w:val="32"/>
          <w:szCs w:val="32"/>
        </w:rPr>
        <w:t>租金增长率不同，需将不同租金增长率下的可比实例租金统一调整为</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增长率下的租金。</w:t>
      </w:r>
    </w:p>
    <w:p w14:paraId="117FDBA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（四）比较法进行资产状况调整时应重点关注以下事项：</w:t>
      </w:r>
    </w:p>
    <w:p w14:paraId="014A9CB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1.租赁可比实例的资产状况应是其成交日期的状况。</w:t>
      </w:r>
    </w:p>
    <w:p w14:paraId="64A0DBE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2.资产状况中的区位、实物、权益状况，应根据</w:t>
      </w:r>
      <w:r>
        <w:rPr>
          <w:rFonts w:hint="eastAsia" w:ascii="Times New Roman" w:hAnsi="Times New Roman" w:eastAsia="方正仿宋_GBK" w:cs="Times New Roman"/>
          <w:sz w:val="32"/>
          <w:szCs w:val="32"/>
        </w:rPr>
        <w:t>估价对象和可比实例</w:t>
      </w:r>
      <w:r>
        <w:rPr>
          <w:rFonts w:ascii="Times New Roman" w:hAnsi="Times New Roman" w:eastAsia="方正仿宋_GBK" w:cs="Times New Roman"/>
          <w:sz w:val="32"/>
          <w:szCs w:val="32"/>
        </w:rPr>
        <w:t>的利用特点</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对相应因素的敏感程度，有针</w:t>
      </w:r>
      <w:r>
        <w:rPr>
          <w:rFonts w:hint="eastAsia" w:ascii="Times New Roman" w:hAnsi="Times New Roman" w:eastAsia="方正仿宋_GBK" w:cs="Times New Roman"/>
          <w:sz w:val="32"/>
          <w:szCs w:val="32"/>
        </w:rPr>
        <w:t>对性地</w:t>
      </w:r>
      <w:r>
        <w:rPr>
          <w:rFonts w:ascii="Times New Roman" w:hAnsi="Times New Roman" w:eastAsia="方正仿宋_GBK" w:cs="Times New Roman"/>
          <w:sz w:val="32"/>
          <w:szCs w:val="32"/>
        </w:rPr>
        <w:t>选择因素因子进行调整。</w:t>
      </w:r>
    </w:p>
    <w:p w14:paraId="7369339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3.对不同用途的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进行区位状况和实物状况调整时，可参考本指引附录所列相应用途的因素因子说明表进行比较调整。</w:t>
      </w:r>
    </w:p>
    <w:p w14:paraId="30C047E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4.资产权益状况调整需关注可比实例和</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的租赁保证金、物业费、能耗费的缴纳标准对租赁总成本的影响，以及资产使用限制或改造权限、租赁期末的复原责任等其他租赁条件的差异影响。</w:t>
      </w:r>
    </w:p>
    <w:p w14:paraId="4AFFCE88">
      <w:pPr>
        <w:ind w:firstLine="640" w:firstLineChars="200"/>
        <w:rPr>
          <w:rFonts w:ascii="Times New Roman" w:hAnsi="Times New Roman" w:eastAsia="方正楷体_GBK" w:cs="Times New Roman"/>
          <w:sz w:val="32"/>
          <w:szCs w:val="40"/>
        </w:rPr>
      </w:pPr>
      <w:r>
        <w:rPr>
          <w:rFonts w:hint="eastAsia" w:ascii="黑体" w:hAnsi="黑体" w:eastAsia="黑体" w:cs="黑体"/>
          <w:sz w:val="32"/>
          <w:szCs w:val="40"/>
        </w:rPr>
        <w:t>第十三条  剩余法</w:t>
      </w:r>
    </w:p>
    <w:p w14:paraId="26F7043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（一）剩余法是以经营承租资产所能获得的收入扣除必要的经营费用以及承租者要求的合理利润，以其余额作为</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租金的方法。采用剩余法测算出的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租金可称为剩余租金。</w:t>
      </w:r>
    </w:p>
    <w:p w14:paraId="2AD63C3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（二）剩余法基本公式</w:t>
      </w:r>
      <w:r>
        <w:rPr>
          <w:rFonts w:hint="eastAsia" w:ascii="Times New Roman" w:hAnsi="Times New Roman" w:eastAsia="方正仿宋_GBK" w:cs="Times New Roman"/>
          <w:sz w:val="32"/>
          <w:szCs w:val="32"/>
        </w:rPr>
        <w:t>：</w:t>
      </w:r>
    </w:p>
    <w:p w14:paraId="4977178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年租金=年经营收入-年经营成本-年运营费-年营销费-年经营税金及附加-年财务费-年经营利润</w:t>
      </w:r>
    </w:p>
    <w:p w14:paraId="067FAA5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1.年经营收入优先采用分割出租</w:t>
      </w:r>
      <w:r>
        <w:rPr>
          <w:rFonts w:hint="eastAsia" w:ascii="Times New Roman" w:hAnsi="Times New Roman" w:eastAsia="方正仿宋_GBK" w:cs="Times New Roman"/>
          <w:sz w:val="32"/>
          <w:szCs w:val="32"/>
        </w:rPr>
        <w:t>的经营</w:t>
      </w:r>
      <w:r>
        <w:rPr>
          <w:rFonts w:ascii="Times New Roman" w:hAnsi="Times New Roman" w:eastAsia="方正仿宋_GBK" w:cs="Times New Roman"/>
          <w:sz w:val="32"/>
          <w:szCs w:val="32"/>
        </w:rPr>
        <w:t>模式，选用比较法测算现状或更新改造后的租赁收入；不可直接通过租赁收入测算的，可根据</w:t>
      </w:r>
      <w:r>
        <w:rPr>
          <w:rFonts w:hint="eastAsia" w:ascii="Times New Roman" w:hAnsi="Times New Roman" w:eastAsia="方正仿宋_GBK" w:cs="Times New Roman"/>
          <w:sz w:val="32"/>
          <w:szCs w:val="32"/>
        </w:rPr>
        <w:t>对估价对象的最高最佳利用分析</w:t>
      </w:r>
      <w:r>
        <w:rPr>
          <w:rFonts w:ascii="Times New Roman" w:hAnsi="Times New Roman" w:eastAsia="方正仿宋_GBK" w:cs="Times New Roman"/>
          <w:sz w:val="32"/>
          <w:szCs w:val="32"/>
        </w:rPr>
        <w:t>，选择商服经营模式或生产经营模式测算经营收入。</w:t>
      </w:r>
    </w:p>
    <w:p w14:paraId="0EB1085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2.年经营成本主要包括更新改造成本年摊销额和商服、生产经营模式下的主营业务成本年平均值。年摊销额按本指引成本法中的相应公式计算。</w:t>
      </w:r>
    </w:p>
    <w:p w14:paraId="3216BA6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3.年运营费主要包括管理费、资产维修费和保险费；是否包括物业管理费、品牌使用费、能耗费等其他费用需根据经营模式和租赁条件确定。</w:t>
      </w:r>
    </w:p>
    <w:p w14:paraId="75BE324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4.年营销费一般包括广告费、招商或宣传资料制作费、营销人员费用或</w:t>
      </w:r>
      <w:r>
        <w:rPr>
          <w:rFonts w:hint="eastAsia" w:ascii="Times New Roman" w:hAnsi="Times New Roman" w:eastAsia="方正仿宋_GBK" w:cs="Times New Roman"/>
          <w:sz w:val="32"/>
          <w:szCs w:val="32"/>
        </w:rPr>
        <w:t>租赁</w:t>
      </w:r>
      <w:r>
        <w:rPr>
          <w:rFonts w:ascii="Times New Roman" w:hAnsi="Times New Roman" w:eastAsia="方正仿宋_GBK" w:cs="Times New Roman"/>
          <w:sz w:val="32"/>
          <w:szCs w:val="32"/>
        </w:rPr>
        <w:t>佣金等。</w:t>
      </w:r>
    </w:p>
    <w:p w14:paraId="7BE69A4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5.年经营税金及附加主要指承租人经营行为需缴纳的增值税及附加，需区分不同经营模式下计税方式的不同。</w:t>
      </w:r>
    </w:p>
    <w:p w14:paraId="07E46FE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6.年财务费用主要指</w:t>
      </w:r>
      <w:r>
        <w:rPr>
          <w:rFonts w:hint="eastAsia" w:ascii="Times New Roman" w:hAnsi="Times New Roman" w:eastAsia="方正仿宋_GBK" w:cs="Times New Roman"/>
          <w:sz w:val="32"/>
          <w:szCs w:val="32"/>
        </w:rPr>
        <w:t>年运营费、年营销费、年经营税金及附加等</w:t>
      </w:r>
      <w:r>
        <w:rPr>
          <w:rFonts w:ascii="Times New Roman" w:hAnsi="Times New Roman" w:eastAsia="方正仿宋_GBK" w:cs="Times New Roman"/>
          <w:sz w:val="32"/>
          <w:szCs w:val="32"/>
        </w:rPr>
        <w:t>各项支出的贷款利息，已在租期内进行过摊销的各项成本不再计算财务费用。</w:t>
      </w:r>
    </w:p>
    <w:p w14:paraId="7C05A0A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7.本公式下的年经营利润应采用所得税前的成本利润率或销售利润率测算，按照同行业平均水平确定。</w:t>
      </w:r>
    </w:p>
    <w:p w14:paraId="1C4ED08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8.经营收入、经营成本、运营费、营销费以类似资产的经营数据或</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近3年经营数据资料比较分析确定。</w:t>
      </w:r>
    </w:p>
    <w:p w14:paraId="1DEBA1F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（三）当</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在租期内</w:t>
      </w:r>
      <w:r>
        <w:rPr>
          <w:rFonts w:hint="eastAsia" w:ascii="Times New Roman" w:hAnsi="Times New Roman" w:eastAsia="方正仿宋_GBK" w:cs="Times New Roman"/>
          <w:sz w:val="32"/>
          <w:szCs w:val="32"/>
        </w:rPr>
        <w:t>各年</w:t>
      </w:r>
      <w:r>
        <w:rPr>
          <w:rFonts w:ascii="Times New Roman" w:hAnsi="Times New Roman" w:eastAsia="方正仿宋_GBK" w:cs="Times New Roman"/>
          <w:sz w:val="32"/>
          <w:szCs w:val="32"/>
        </w:rPr>
        <w:t>经营收入和成本、费用</w:t>
      </w:r>
      <w:r>
        <w:rPr>
          <w:rFonts w:hint="eastAsia" w:ascii="Times New Roman" w:hAnsi="Times New Roman" w:eastAsia="方正仿宋_GBK" w:cs="Times New Roman"/>
          <w:sz w:val="32"/>
          <w:szCs w:val="32"/>
        </w:rPr>
        <w:t>是</w:t>
      </w:r>
      <w:r>
        <w:rPr>
          <w:rFonts w:ascii="Times New Roman" w:hAnsi="Times New Roman" w:eastAsia="方正仿宋_GBK" w:cs="Times New Roman"/>
          <w:sz w:val="32"/>
          <w:szCs w:val="32"/>
        </w:rPr>
        <w:t>动态调整的，可通过以下步骤评估</w:t>
      </w:r>
      <w:r>
        <w:rPr>
          <w:rFonts w:hint="eastAsia" w:ascii="Times New Roman" w:hAnsi="Times New Roman" w:eastAsia="方正仿宋_GBK" w:cs="Times New Roman"/>
          <w:sz w:val="32"/>
          <w:szCs w:val="32"/>
        </w:rPr>
        <w:t>首年</w:t>
      </w:r>
      <w:r>
        <w:rPr>
          <w:rFonts w:ascii="Times New Roman" w:hAnsi="Times New Roman" w:eastAsia="方正仿宋_GBK" w:cs="Times New Roman"/>
          <w:sz w:val="32"/>
          <w:szCs w:val="32"/>
        </w:rPr>
        <w:t>租金：</w:t>
      </w:r>
    </w:p>
    <w:p w14:paraId="10EC29B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1.按照剩余法基本公式原理，计算租赁期内各年剩余租金，其中更新改造成本可计为当期支出，不</w:t>
      </w:r>
      <w:r>
        <w:rPr>
          <w:rFonts w:hint="eastAsia" w:ascii="Times New Roman" w:hAnsi="Times New Roman" w:eastAsia="方正仿宋_GBK" w:cs="Times New Roman"/>
          <w:sz w:val="32"/>
          <w:szCs w:val="32"/>
        </w:rPr>
        <w:t>作</w:t>
      </w:r>
      <w:r>
        <w:rPr>
          <w:rFonts w:ascii="Times New Roman" w:hAnsi="Times New Roman" w:eastAsia="方正仿宋_GBK" w:cs="Times New Roman"/>
          <w:sz w:val="32"/>
          <w:szCs w:val="32"/>
        </w:rPr>
        <w:t>租期内摊销；</w:t>
      </w:r>
    </w:p>
    <w:p w14:paraId="30FB308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2.选用适当的折现率，计算租赁期内各年剩余租金</w:t>
      </w:r>
      <w:r>
        <w:rPr>
          <w:rFonts w:hint="eastAsia" w:ascii="Times New Roman" w:hAnsi="Times New Roman" w:eastAsia="方正仿宋_GBK" w:cs="Times New Roman"/>
          <w:sz w:val="32"/>
          <w:szCs w:val="32"/>
        </w:rPr>
        <w:t>现金流</w:t>
      </w:r>
      <w:r>
        <w:rPr>
          <w:rFonts w:ascii="Times New Roman" w:hAnsi="Times New Roman" w:eastAsia="方正仿宋_GBK" w:cs="Times New Roman"/>
          <w:sz w:val="32"/>
          <w:szCs w:val="32"/>
        </w:rPr>
        <w:t>的现值；</w:t>
      </w:r>
    </w:p>
    <w:p w14:paraId="3F42321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3.根据租赁条件中的可收益租赁年期、租金增长率等要求，采用以下公式计算</w:t>
      </w:r>
      <w:r>
        <w:rPr>
          <w:rFonts w:hint="eastAsia" w:ascii="Times New Roman" w:hAnsi="Times New Roman" w:eastAsia="方正仿宋_GBK" w:cs="Times New Roman"/>
          <w:sz w:val="32"/>
          <w:szCs w:val="32"/>
        </w:rPr>
        <w:t>首年</w:t>
      </w:r>
      <w:r>
        <w:rPr>
          <w:rFonts w:ascii="Times New Roman" w:hAnsi="Times New Roman" w:eastAsia="方正仿宋_GBK" w:cs="Times New Roman"/>
          <w:sz w:val="32"/>
          <w:szCs w:val="32"/>
        </w:rPr>
        <w:t>租金。</w:t>
      </w:r>
    </w:p>
    <w:p w14:paraId="47501441">
      <w:pPr>
        <w:ind w:firstLine="640" w:firstLineChars="200"/>
        <w:rPr>
          <w:rFonts w:ascii="Times New Roman" w:hAnsi="Times New Roman" w:eastAsia="仿宋" w:cs="Times New Roman"/>
          <w:sz w:val="32"/>
          <w:szCs w:val="40"/>
        </w:rPr>
      </w:pPr>
      <m:oMathPara>
        <m:oMath>
          <m:r>
            <m:rPr>
              <m:nor/>
            </m:rPr>
            <w:rPr>
              <w:rFonts w:ascii="Times New Roman" w:hAnsi="Times New Roman" w:cs="Times New Roman"/>
              <w:i/>
              <w:sz w:val="32"/>
              <w:szCs w:val="40"/>
            </w:rPr>
            <m:t>A</m:t>
          </m:r>
          <m:r>
            <m:rPr>
              <m:nor/>
              <m:sty m:val="p"/>
            </m:rPr>
            <w:rPr>
              <w:rFonts w:ascii="Times New Roman" w:hAnsi="Times New Roman" w:cs="Times New Roman"/>
              <w:b w:val="0"/>
              <w:i w:val="0"/>
              <w:sz w:val="32"/>
              <w:szCs w:val="40"/>
            </w:rPr>
            <m:t>=</m:t>
          </m:r>
          <m:f>
            <m:fPr>
              <m:ctrlPr>
                <w:rPr>
                  <w:rFonts w:ascii="Cambria Math" w:hAnsi="Cambria Math" w:cs="Times New Roman"/>
                  <w:i/>
                  <w:sz w:val="32"/>
                  <w:szCs w:val="40"/>
                </w:rPr>
              </m:ctrlPr>
            </m:fPr>
            <m:num>
              <m:r>
                <m:rPr>
                  <m:nor/>
                </m:rPr>
                <w:rPr>
                  <w:rFonts w:ascii="Times New Roman" w:hAnsi="Times New Roman" w:cs="Times New Roman"/>
                  <w:i/>
                  <w:sz w:val="32"/>
                  <w:szCs w:val="40"/>
                </w:rPr>
                <m:t>P</m:t>
              </m:r>
              <m:r>
                <m:rPr>
                  <m:nor/>
                  <m:sty m:val="p"/>
                </m:rPr>
                <w:rPr>
                  <w:rFonts w:ascii="Times New Roman" w:hAnsi="Times New Roman" w:cs="Times New Roman"/>
                  <w:b w:val="0"/>
                  <w:i w:val="0"/>
                  <w:sz w:val="32"/>
                  <w:szCs w:val="40"/>
                </w:rPr>
                <m:t>×(</m:t>
              </m:r>
              <m:r>
                <m:rPr>
                  <m:nor/>
                </m:rPr>
                <w:rPr>
                  <w:rFonts w:ascii="Times New Roman" w:hAnsi="Times New Roman" w:cs="Times New Roman"/>
                  <w:i/>
                  <w:sz w:val="32"/>
                  <w:szCs w:val="40"/>
                </w:rPr>
                <m:t>i</m:t>
              </m:r>
              <m:r>
                <m:rPr>
                  <m:nor/>
                  <m:sty m:val="p"/>
                </m:rPr>
                <w:rPr>
                  <w:rFonts w:ascii="Times New Roman" w:hAnsi="Times New Roman" w:cs="Times New Roman"/>
                  <w:b w:val="0"/>
                  <w:i w:val="0"/>
                  <w:sz w:val="32"/>
                  <w:szCs w:val="40"/>
                </w:rPr>
                <m:t>-</m:t>
              </m:r>
              <m:r>
                <m:rPr>
                  <m:nor/>
                </m:rPr>
                <w:rPr>
                  <w:rFonts w:ascii="Times New Roman" w:hAnsi="Times New Roman" w:cs="Times New Roman"/>
                  <w:i/>
                  <w:sz w:val="32"/>
                  <w:szCs w:val="40"/>
                </w:rPr>
                <m:t>g</m:t>
              </m:r>
              <m:r>
                <m:rPr>
                  <m:nor/>
                  <m:sty m:val="p"/>
                </m:rPr>
                <w:rPr>
                  <w:rFonts w:ascii="Times New Roman" w:hAnsi="Times New Roman" w:cs="Times New Roman"/>
                  <w:b w:val="0"/>
                  <w:i w:val="0"/>
                  <w:sz w:val="32"/>
                  <w:szCs w:val="40"/>
                </w:rPr>
                <m:t>)</m:t>
              </m:r>
              <m:ctrlPr>
                <w:rPr>
                  <w:rFonts w:ascii="Cambria Math" w:hAnsi="Cambria Math" w:cs="Times New Roman"/>
                  <w:i/>
                  <w:sz w:val="32"/>
                  <w:szCs w:val="40"/>
                </w:rPr>
              </m:ctrlPr>
            </m:num>
            <m:den>
              <m:d>
                <m:dPr>
                  <m:begChr m:val="["/>
                  <m:endChr m:val="]"/>
                  <m:ctrlPr>
                    <w:rPr>
                      <w:rFonts w:ascii="Cambria Math" w:hAnsi="Cambria Math" w:cs="Times New Roman"/>
                      <w:i/>
                      <w:sz w:val="32"/>
                      <w:szCs w:val="40"/>
                    </w:rPr>
                  </m:ctrlPr>
                </m:dPr>
                <m:e>
                  <m:r>
                    <m:rPr>
                      <m:nor/>
                      <m:sty m:val="p"/>
                    </m:rPr>
                    <w:rPr>
                      <w:rFonts w:ascii="Times New Roman" w:hAnsi="Times New Roman" w:cs="Times New Roman"/>
                      <w:b w:val="0"/>
                      <w:i w:val="0"/>
                      <w:sz w:val="32"/>
                      <w:szCs w:val="40"/>
                    </w:rPr>
                    <m:t>1-</m:t>
                  </m:r>
                  <m:sSup>
                    <m:sSupPr>
                      <m:ctrlPr>
                        <w:rPr>
                          <w:rFonts w:ascii="Cambria Math" w:hAnsi="Cambria Math" w:cs="Times New Roman"/>
                          <w:i/>
                          <w:sz w:val="32"/>
                          <w:szCs w:val="40"/>
                        </w:rPr>
                      </m:ctrlPr>
                    </m:sSupPr>
                    <m:e>
                      <m:d>
                        <m:dPr>
                          <m:ctrlPr>
                            <w:rPr>
                              <w:rFonts w:ascii="Cambria Math" w:hAnsi="Cambria Math" w:cs="Times New Roman"/>
                              <w:i/>
                              <w:sz w:val="32"/>
                              <w:szCs w:val="40"/>
                            </w:rPr>
                          </m:ctrlPr>
                        </m:dPr>
                        <m:e>
                          <m:f>
                            <m:fPr>
                              <m:ctrlPr>
                                <w:rPr>
                                  <w:rFonts w:ascii="Cambria Math" w:hAnsi="Cambria Math" w:cs="Times New Roman"/>
                                  <w:i/>
                                  <w:sz w:val="32"/>
                                  <w:szCs w:val="40"/>
                                </w:rPr>
                              </m:ctrlPr>
                            </m:fPr>
                            <m:num>
                              <m:r>
                                <m:rPr>
                                  <m:nor/>
                                  <m:sty m:val="p"/>
                                </m:rPr>
                                <w:rPr>
                                  <w:rFonts w:ascii="Times New Roman" w:hAnsi="Times New Roman" w:cs="Times New Roman"/>
                                  <w:b w:val="0"/>
                                  <w:i w:val="0"/>
                                  <w:sz w:val="32"/>
                                  <w:szCs w:val="40"/>
                                </w:rPr>
                                <m:t>1+</m:t>
                              </m:r>
                              <m:r>
                                <m:rPr>
                                  <m:nor/>
                                </m:rPr>
                                <w:rPr>
                                  <w:rFonts w:ascii="Times New Roman" w:hAnsi="Times New Roman" w:cs="Times New Roman"/>
                                  <w:i/>
                                  <w:sz w:val="32"/>
                                  <w:szCs w:val="40"/>
                                </w:rPr>
                                <m:t>g</m:t>
                              </m:r>
                              <m:ctrlPr>
                                <w:rPr>
                                  <w:rFonts w:ascii="Cambria Math" w:hAnsi="Cambria Math" w:cs="Times New Roman"/>
                                  <w:i/>
                                  <w:sz w:val="32"/>
                                  <w:szCs w:val="40"/>
                                </w:rPr>
                              </m:ctrlPr>
                            </m:num>
                            <m:den>
                              <m:r>
                                <m:rPr>
                                  <m:nor/>
                                  <m:sty m:val="p"/>
                                </m:rPr>
                                <w:rPr>
                                  <w:rFonts w:ascii="Times New Roman" w:hAnsi="Times New Roman" w:cs="Times New Roman"/>
                                  <w:b w:val="0"/>
                                  <w:i w:val="0"/>
                                  <w:sz w:val="32"/>
                                  <w:szCs w:val="40"/>
                                </w:rPr>
                                <m:t>1+</m:t>
                              </m:r>
                              <m:r>
                                <m:rPr>
                                  <m:nor/>
                                </m:rPr>
                                <w:rPr>
                                  <w:rFonts w:ascii="Times New Roman" w:hAnsi="Times New Roman" w:cs="Times New Roman"/>
                                  <w:i/>
                                  <w:sz w:val="32"/>
                                  <w:szCs w:val="40"/>
                                </w:rPr>
                                <m:t>i</m:t>
                              </m:r>
                              <m:ctrlPr>
                                <w:rPr>
                                  <w:rFonts w:ascii="Cambria Math" w:hAnsi="Cambria Math" w:cs="Times New Roman"/>
                                  <w:i/>
                                  <w:sz w:val="32"/>
                                  <w:szCs w:val="40"/>
                                </w:rPr>
                              </m:ctrlPr>
                            </m:den>
                          </m:f>
                          <m:ctrlPr>
                            <w:rPr>
                              <w:rFonts w:ascii="Cambria Math" w:hAnsi="Cambria Math" w:cs="Times New Roman"/>
                              <w:i/>
                              <w:sz w:val="32"/>
                              <w:szCs w:val="40"/>
                            </w:rPr>
                          </m:ctrlPr>
                        </m:e>
                      </m:d>
                      <m:ctrlPr>
                        <w:rPr>
                          <w:rFonts w:ascii="Cambria Math" w:hAnsi="Cambria Math" w:cs="Times New Roman"/>
                          <w:i/>
                          <w:sz w:val="32"/>
                          <w:szCs w:val="40"/>
                        </w:rPr>
                      </m:ctrlPr>
                    </m:e>
                    <m:sup>
                      <m:r>
                        <m:rPr>
                          <m:nor/>
                        </m:rPr>
                        <w:rPr>
                          <w:rFonts w:ascii="Times New Roman" w:hAnsi="Times New Roman" w:cs="Times New Roman"/>
                          <w:i/>
                          <w:sz w:val="32"/>
                          <w:szCs w:val="40"/>
                        </w:rPr>
                        <m:t>n</m:t>
                      </m:r>
                      <m:ctrlPr>
                        <w:rPr>
                          <w:rFonts w:ascii="Cambria Math" w:hAnsi="Cambria Math" w:cs="Times New Roman"/>
                          <w:i/>
                          <w:sz w:val="32"/>
                          <w:szCs w:val="40"/>
                        </w:rPr>
                      </m:ctrlPr>
                    </m:sup>
                  </m:sSup>
                  <m:ctrlPr>
                    <w:rPr>
                      <w:rFonts w:ascii="Cambria Math" w:hAnsi="Cambria Math" w:cs="Times New Roman"/>
                      <w:i/>
                      <w:sz w:val="32"/>
                      <w:szCs w:val="40"/>
                    </w:rPr>
                  </m:ctrlPr>
                </m:e>
              </m:d>
              <m:ctrlPr>
                <w:rPr>
                  <w:rFonts w:ascii="Cambria Math" w:hAnsi="Cambria Math" w:cs="Times New Roman"/>
                  <w:i/>
                  <w:sz w:val="32"/>
                  <w:szCs w:val="40"/>
                </w:rPr>
              </m:ctrlPr>
            </m:den>
          </m:f>
        </m:oMath>
      </m:oMathPara>
    </w:p>
    <w:p w14:paraId="073BB5E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w:t>
      </w:r>
      <w:r>
        <w:rPr>
          <w:rFonts w:hint="eastAsia" w:ascii="Times New Roman" w:hAnsi="Times New Roman" w:eastAsia="方正仿宋_GBK" w:cs="Times New Roman"/>
          <w:sz w:val="32"/>
          <w:szCs w:val="32"/>
        </w:rPr>
        <w:t>首</w:t>
      </w:r>
      <w:r>
        <w:rPr>
          <w:rFonts w:ascii="Times New Roman" w:hAnsi="Times New Roman" w:eastAsia="方正仿宋_GBK" w:cs="Times New Roman"/>
          <w:sz w:val="32"/>
          <w:szCs w:val="32"/>
        </w:rPr>
        <w:t>年租金。</w:t>
      </w:r>
    </w:p>
    <w:p w14:paraId="1F3397E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P——租赁期内各年剩余租金</w:t>
      </w:r>
      <w:r>
        <w:rPr>
          <w:rFonts w:hint="eastAsia" w:ascii="Times New Roman" w:hAnsi="Times New Roman" w:eastAsia="方正仿宋_GBK" w:cs="Times New Roman"/>
          <w:sz w:val="32"/>
          <w:szCs w:val="32"/>
        </w:rPr>
        <w:t>现金</w:t>
      </w:r>
      <w:r>
        <w:rPr>
          <w:rFonts w:ascii="Times New Roman" w:hAnsi="Times New Roman" w:eastAsia="方正仿宋_GBK" w:cs="Times New Roman"/>
          <w:sz w:val="32"/>
          <w:szCs w:val="32"/>
        </w:rPr>
        <w:t>流</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现值</w:t>
      </w:r>
      <w:r>
        <w:rPr>
          <w:rFonts w:hint="eastAsia" w:ascii="Times New Roman" w:hAnsi="Times New Roman" w:eastAsia="方正仿宋_GBK" w:cs="Times New Roman"/>
          <w:sz w:val="32"/>
          <w:szCs w:val="32"/>
        </w:rPr>
        <w:t>之和</w:t>
      </w:r>
      <w:r>
        <w:rPr>
          <w:rFonts w:ascii="Times New Roman" w:hAnsi="Times New Roman" w:eastAsia="方正仿宋_GBK" w:cs="Times New Roman"/>
          <w:sz w:val="32"/>
          <w:szCs w:val="32"/>
        </w:rPr>
        <w:t>。</w:t>
      </w:r>
    </w:p>
    <w:p w14:paraId="3C41B9F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i——折现率</w:t>
      </w:r>
      <w:r>
        <w:rPr>
          <w:rFonts w:hint="eastAsia" w:ascii="Times New Roman" w:hAnsi="Times New Roman" w:eastAsia="方正仿宋_GBK" w:cs="Times New Roman"/>
          <w:sz w:val="32"/>
          <w:szCs w:val="32"/>
        </w:rPr>
        <w:t>；此公式中折现率确定主要考虑未来租金的资金时间价值和承租人履约风险，可</w:t>
      </w:r>
      <w:r>
        <w:rPr>
          <w:rFonts w:ascii="Times New Roman" w:hAnsi="Times New Roman" w:eastAsia="方正仿宋_GBK" w:cs="Times New Roman"/>
          <w:sz w:val="32"/>
          <w:szCs w:val="32"/>
        </w:rPr>
        <w:t>采用</w:t>
      </w:r>
      <w:r>
        <w:rPr>
          <w:rFonts w:hint="eastAsia" w:ascii="Times New Roman" w:hAnsi="Times New Roman" w:eastAsia="方正仿宋_GBK" w:cs="Times New Roman"/>
          <w:sz w:val="32"/>
          <w:szCs w:val="32"/>
        </w:rPr>
        <w:t>累加法确定</w:t>
      </w:r>
      <w:r>
        <w:rPr>
          <w:rFonts w:ascii="Times New Roman" w:hAnsi="Times New Roman" w:eastAsia="方正仿宋_GBK" w:cs="Times New Roman"/>
          <w:sz w:val="32"/>
          <w:szCs w:val="32"/>
        </w:rPr>
        <w:t>。</w:t>
      </w:r>
    </w:p>
    <w:p w14:paraId="141635F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g——年平均租金增长率（根据租赁条件要求的租金增长率进行计算）。</w:t>
      </w:r>
    </w:p>
    <w:p w14:paraId="64B45B0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n——可收益租赁年期。</w:t>
      </w:r>
    </w:p>
    <w:p w14:paraId="05C848A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以上公式</w:t>
      </w:r>
      <w:r>
        <w:rPr>
          <w:rFonts w:hint="eastAsia" w:ascii="Times New Roman" w:hAnsi="Times New Roman" w:eastAsia="方正仿宋_GBK" w:cs="Times New Roman"/>
          <w:sz w:val="32"/>
          <w:szCs w:val="32"/>
        </w:rPr>
        <w:t>的应用条件是i≠0、i＞g，其</w:t>
      </w:r>
      <w:r>
        <w:rPr>
          <w:rFonts w:ascii="Times New Roman" w:hAnsi="Times New Roman" w:eastAsia="方正仿宋_GBK" w:cs="Times New Roman"/>
          <w:sz w:val="32"/>
          <w:szCs w:val="32"/>
        </w:rPr>
        <w:t>测算结果是年末支付的租金，</w:t>
      </w:r>
      <w:r>
        <w:rPr>
          <w:rFonts w:hint="eastAsia" w:ascii="Times New Roman" w:hAnsi="Times New Roman" w:eastAsia="方正仿宋_GBK" w:cs="Times New Roman"/>
          <w:sz w:val="32"/>
          <w:szCs w:val="32"/>
        </w:rPr>
        <w:t>租金支付条件约定为先付后用的，</w:t>
      </w:r>
      <w:r>
        <w:rPr>
          <w:rFonts w:ascii="Times New Roman" w:hAnsi="Times New Roman" w:eastAsia="方正仿宋_GBK" w:cs="Times New Roman"/>
          <w:sz w:val="32"/>
          <w:szCs w:val="32"/>
        </w:rPr>
        <w:t>需按照现值原理对测算结果进行调整。</w:t>
      </w:r>
    </w:p>
    <w:p w14:paraId="7177670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（四）剩余法运用的其他</w:t>
      </w:r>
      <w:r>
        <w:rPr>
          <w:rFonts w:hint="eastAsia" w:ascii="Times New Roman" w:hAnsi="Times New Roman" w:eastAsia="方正仿宋_GBK" w:cs="Times New Roman"/>
          <w:sz w:val="32"/>
          <w:szCs w:val="32"/>
        </w:rPr>
        <w:t>注意</w:t>
      </w:r>
      <w:r>
        <w:rPr>
          <w:rFonts w:ascii="Times New Roman" w:hAnsi="Times New Roman" w:eastAsia="方正仿宋_GBK" w:cs="Times New Roman"/>
          <w:sz w:val="32"/>
          <w:szCs w:val="32"/>
        </w:rPr>
        <w:t>事项：</w:t>
      </w:r>
    </w:p>
    <w:p w14:paraId="111A371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选用剩余法</w:t>
      </w:r>
      <w:r>
        <w:rPr>
          <w:rFonts w:ascii="Times New Roman" w:hAnsi="Times New Roman" w:eastAsia="方正仿宋_GBK" w:cs="Times New Roman"/>
          <w:sz w:val="32"/>
          <w:szCs w:val="32"/>
        </w:rPr>
        <w:t>对整体资产中土地、房屋、场地等部分资产的租金进行评估时，可先选用</w:t>
      </w:r>
      <w:r>
        <w:rPr>
          <w:rFonts w:hint="eastAsia" w:ascii="Times New Roman" w:hAnsi="Times New Roman" w:eastAsia="方正仿宋_GBK" w:cs="Times New Roman"/>
          <w:sz w:val="32"/>
          <w:szCs w:val="32"/>
        </w:rPr>
        <w:t>其他</w:t>
      </w:r>
      <w:r>
        <w:rPr>
          <w:rFonts w:ascii="Times New Roman" w:hAnsi="Times New Roman" w:eastAsia="方正仿宋_GBK" w:cs="Times New Roman"/>
          <w:sz w:val="32"/>
          <w:szCs w:val="32"/>
        </w:rPr>
        <w:t>方法评估整体资产的租金，再减去用成本法或价值折算法测算的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以外的资产租金，得到</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w:t>
      </w:r>
    </w:p>
    <w:p w14:paraId="66C0705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2.剩余法的具体技术路径不限于本指引所列方式，采用其他技术路径时应基于预期原理，并在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中说明具体评估思路。</w:t>
      </w:r>
    </w:p>
    <w:p w14:paraId="648D055D">
      <w:pPr>
        <w:ind w:firstLine="640" w:firstLineChars="200"/>
        <w:rPr>
          <w:rFonts w:ascii="Times New Roman" w:hAnsi="Times New Roman" w:eastAsia="方正楷体_GBK" w:cs="Times New Roman"/>
          <w:sz w:val="32"/>
          <w:szCs w:val="32"/>
        </w:rPr>
      </w:pPr>
      <w:r>
        <w:rPr>
          <w:rFonts w:hint="eastAsia" w:ascii="黑体" w:hAnsi="黑体" w:eastAsia="黑体" w:cs="黑体"/>
          <w:sz w:val="32"/>
          <w:szCs w:val="32"/>
        </w:rPr>
        <w:t>第十四条  价值折算法</w:t>
      </w:r>
    </w:p>
    <w:p w14:paraId="4C0CC71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（一）价值折算法是选取收益法以外的评估方法求得</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市场</w:t>
      </w:r>
      <w:r>
        <w:rPr>
          <w:rFonts w:ascii="Times New Roman" w:hAnsi="Times New Roman" w:eastAsia="方正仿宋_GBK" w:cs="Times New Roman"/>
          <w:sz w:val="32"/>
          <w:szCs w:val="32"/>
        </w:rPr>
        <w:t>价值，然后确定</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报酬率以及年净收益的变化趋势，最后选用适当的收益法计算公式求取</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年净收益，进而调整得到</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租金的方法。采用价值折算法测算出的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租金可称为折算租金。</w:t>
      </w:r>
    </w:p>
    <w:p w14:paraId="0AFA3AE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（二）价值折算法基本公式如下：</w:t>
      </w:r>
    </w:p>
    <w:p w14:paraId="347D4F8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年租金=年净收益+年运营费+年营销费+年相关税费+年空置和免租损失-年押金利息</w:t>
      </w:r>
    </w:p>
    <w:p w14:paraId="0C60ADC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年净收益=（资产</w:t>
      </w:r>
      <w:r>
        <w:rPr>
          <w:rFonts w:hint="eastAsia" w:ascii="Times New Roman" w:hAnsi="Times New Roman" w:eastAsia="方正仿宋_GBK" w:cs="Times New Roman"/>
          <w:sz w:val="32"/>
          <w:szCs w:val="32"/>
        </w:rPr>
        <w:t>市场</w:t>
      </w:r>
      <w:r>
        <w:rPr>
          <w:rFonts w:ascii="Times New Roman" w:hAnsi="Times New Roman" w:eastAsia="方正仿宋_GBK" w:cs="Times New Roman"/>
          <w:sz w:val="32"/>
          <w:szCs w:val="32"/>
        </w:rPr>
        <w:t>价值-收益期结束时建筑物的价值折现到价值时点的数额）×折算系数</w:t>
      </w:r>
    </w:p>
    <w:p w14:paraId="472D90E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求取年净收益时：折算系数一般选择有限年期内净收益每年不变或净收益按一定比率递增的收益法公式计算确定；确定报酬率时宜选用累加法，确定过程应充分考虑不同出租人在同等市场租金下因税负不同对有效收益的影响及其与租金、资产价值的关联性；年净收益增长率可参考租赁条件中的租金增长变化趋势，结合运营费用的变化趋势评估后确定；收益期一般为土地使用权剩余使用年期。</w:t>
      </w:r>
    </w:p>
    <w:p w14:paraId="1528F55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2.年空置和免租损失=潜在毛租金收入×空置损失率；空置损失率可在分析同类资产平均招租期和免租期时长后，根据</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的租赁期限计算确定，计算公式：空置损失率=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招租</w:t>
      </w:r>
      <w:r>
        <w:rPr>
          <w:rFonts w:hint="eastAsia" w:ascii="Times New Roman" w:hAnsi="Times New Roman" w:eastAsia="方正仿宋_GBK" w:cs="Times New Roman"/>
          <w:sz w:val="32"/>
          <w:szCs w:val="32"/>
        </w:rPr>
        <w:t>期月数+</w:t>
      </w:r>
      <w:r>
        <w:rPr>
          <w:rFonts w:ascii="Times New Roman" w:hAnsi="Times New Roman" w:eastAsia="方正仿宋_GBK" w:cs="Times New Roman"/>
          <w:sz w:val="32"/>
          <w:szCs w:val="32"/>
        </w:rPr>
        <w:t>免租</w:t>
      </w:r>
      <w:r>
        <w:rPr>
          <w:rFonts w:hint="eastAsia" w:ascii="Times New Roman" w:hAnsi="Times New Roman" w:eastAsia="方正仿宋_GBK" w:cs="Times New Roman"/>
          <w:sz w:val="32"/>
          <w:szCs w:val="32"/>
        </w:rPr>
        <w:t>期</w:t>
      </w:r>
      <w:r>
        <w:rPr>
          <w:rFonts w:ascii="Times New Roman" w:hAnsi="Times New Roman" w:eastAsia="方正仿宋_GBK" w:cs="Times New Roman"/>
          <w:sz w:val="32"/>
          <w:szCs w:val="32"/>
        </w:rPr>
        <w:t>月数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/（招租</w:t>
      </w:r>
      <w:r>
        <w:rPr>
          <w:rFonts w:hint="eastAsia" w:ascii="Times New Roman" w:hAnsi="Times New Roman" w:eastAsia="方正仿宋_GBK" w:cs="Times New Roman"/>
          <w:sz w:val="32"/>
          <w:szCs w:val="32"/>
        </w:rPr>
        <w:t>期</w:t>
      </w:r>
      <w:r>
        <w:rPr>
          <w:rFonts w:ascii="Times New Roman" w:hAnsi="Times New Roman" w:eastAsia="方正仿宋_GBK" w:cs="Times New Roman"/>
          <w:sz w:val="32"/>
          <w:szCs w:val="32"/>
        </w:rPr>
        <w:t>月数</w:t>
      </w:r>
      <w:r>
        <w:rPr>
          <w:rFonts w:hint="eastAsia" w:ascii="Times New Roman" w:hAnsi="Times New Roman" w:eastAsia="方正仿宋_GBK" w:cs="Times New Roman"/>
          <w:sz w:val="32"/>
          <w:szCs w:val="32"/>
        </w:rPr>
        <w:t>+含免租期在内的</w:t>
      </w:r>
      <w:r>
        <w:rPr>
          <w:rFonts w:ascii="Times New Roman" w:hAnsi="Times New Roman" w:eastAsia="方正仿宋_GBK" w:cs="Times New Roman"/>
          <w:sz w:val="32"/>
          <w:szCs w:val="32"/>
        </w:rPr>
        <w:t>总租期</w:t>
      </w:r>
      <w:r>
        <w:rPr>
          <w:rFonts w:hint="eastAsia" w:ascii="Times New Roman" w:hAnsi="Times New Roman" w:eastAsia="方正仿宋_GBK" w:cs="Times New Roman"/>
          <w:sz w:val="32"/>
          <w:szCs w:val="32"/>
        </w:rPr>
        <w:t>月数</w:t>
      </w:r>
      <w:r>
        <w:rPr>
          <w:rFonts w:ascii="Times New Roman" w:hAnsi="Times New Roman" w:eastAsia="方正仿宋_GBK" w:cs="Times New Roman"/>
          <w:sz w:val="32"/>
          <w:szCs w:val="32"/>
        </w:rPr>
        <w:t>）。</w:t>
      </w:r>
    </w:p>
    <w:p w14:paraId="5D629FC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（三）价值折算法运用的其他</w:t>
      </w:r>
      <w:r>
        <w:rPr>
          <w:rFonts w:hint="eastAsia" w:ascii="Times New Roman" w:hAnsi="Times New Roman" w:eastAsia="方正仿宋_GBK" w:cs="Times New Roman"/>
          <w:sz w:val="32"/>
          <w:szCs w:val="32"/>
        </w:rPr>
        <w:t>注意</w:t>
      </w:r>
      <w:r>
        <w:rPr>
          <w:rFonts w:ascii="Times New Roman" w:hAnsi="Times New Roman" w:eastAsia="方正仿宋_GBK" w:cs="Times New Roman"/>
          <w:sz w:val="32"/>
          <w:szCs w:val="32"/>
        </w:rPr>
        <w:t>事项：</w:t>
      </w:r>
    </w:p>
    <w:p w14:paraId="46FD49A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评估拟出租资产的市场价值时，评估用途应与拟出租用途相同，并充分考虑资产规模和外部折旧、功能折旧、物质折旧等方面对市场价值的影响。估价对象</w:t>
      </w:r>
      <w:r>
        <w:rPr>
          <w:rFonts w:ascii="Times New Roman" w:hAnsi="Times New Roman" w:eastAsia="方正仿宋_GBK" w:cs="Times New Roman"/>
          <w:sz w:val="32"/>
          <w:szCs w:val="32"/>
        </w:rPr>
        <w:t>土地使用权类型为划拨的按出让评估，使用权年期</w:t>
      </w:r>
      <w:r>
        <w:rPr>
          <w:rFonts w:hint="eastAsia" w:ascii="Times New Roman" w:hAnsi="Times New Roman" w:eastAsia="方正仿宋_GBK" w:cs="Times New Roman"/>
          <w:sz w:val="32"/>
          <w:szCs w:val="32"/>
        </w:rPr>
        <w:t>按</w:t>
      </w:r>
      <w:r>
        <w:rPr>
          <w:rFonts w:ascii="Times New Roman" w:hAnsi="Times New Roman" w:eastAsia="方正仿宋_GBK" w:cs="Times New Roman"/>
          <w:sz w:val="32"/>
          <w:szCs w:val="32"/>
        </w:rPr>
        <w:t>相应用途法定最高年期。</w:t>
      </w:r>
    </w:p>
    <w:p w14:paraId="2D7BFC3A">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价值折算法基本公式</w:t>
      </w:r>
      <w:r>
        <w:rPr>
          <w:rFonts w:ascii="Times New Roman" w:hAnsi="Times New Roman" w:eastAsia="方正仿宋_GBK" w:cs="Times New Roman"/>
          <w:sz w:val="32"/>
          <w:szCs w:val="32"/>
        </w:rPr>
        <w:t>测算结果</w:t>
      </w:r>
      <w:r>
        <w:rPr>
          <w:rFonts w:hint="eastAsia" w:ascii="Times New Roman" w:hAnsi="Times New Roman" w:eastAsia="方正仿宋_GBK" w:cs="Times New Roman"/>
          <w:sz w:val="32"/>
          <w:szCs w:val="32"/>
        </w:rPr>
        <w:t>一般</w:t>
      </w:r>
      <w:r>
        <w:rPr>
          <w:rFonts w:ascii="Times New Roman" w:hAnsi="Times New Roman" w:eastAsia="方正仿宋_GBK" w:cs="Times New Roman"/>
          <w:sz w:val="32"/>
          <w:szCs w:val="32"/>
        </w:rPr>
        <w:t>是年末支付的租金，</w:t>
      </w:r>
      <w:r>
        <w:rPr>
          <w:rFonts w:hint="eastAsia" w:ascii="Times New Roman" w:hAnsi="Times New Roman" w:eastAsia="方正仿宋_GBK" w:cs="Times New Roman"/>
          <w:sz w:val="32"/>
          <w:szCs w:val="32"/>
        </w:rPr>
        <w:t>租金支付条件约定为先付后用的，</w:t>
      </w:r>
      <w:r>
        <w:rPr>
          <w:rFonts w:ascii="Times New Roman" w:hAnsi="Times New Roman" w:eastAsia="方正仿宋_GBK" w:cs="Times New Roman"/>
          <w:sz w:val="32"/>
          <w:szCs w:val="32"/>
        </w:rPr>
        <w:t>需按照现值原理对测算结果进行调整；如有其他需要调整的因素，需在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中说明因素名称和调整系数</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评估取值过程。</w:t>
      </w:r>
    </w:p>
    <w:p w14:paraId="1DD1F4A0">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.当租赁条件要求承租人整租或实施改造并承担改造成本时，需对价值折算法测算结果进行减价调整。</w:t>
      </w:r>
    </w:p>
    <w:p w14:paraId="3307C1F2">
      <w:pPr>
        <w:ind w:firstLine="640" w:firstLineChars="200"/>
        <w:rPr>
          <w:rFonts w:ascii="Times New Roman" w:hAnsi="Times New Roman" w:eastAsia="方正楷体_GBK" w:cs="Times New Roman"/>
          <w:sz w:val="32"/>
          <w:szCs w:val="32"/>
        </w:rPr>
      </w:pPr>
      <w:r>
        <w:rPr>
          <w:rFonts w:hint="eastAsia" w:ascii="黑体" w:hAnsi="黑体" w:eastAsia="黑体" w:cs="黑体"/>
          <w:sz w:val="32"/>
          <w:szCs w:val="32"/>
        </w:rPr>
        <w:t>第十五条  成本法</w:t>
      </w:r>
    </w:p>
    <w:p w14:paraId="07292F5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（一）成本法是对租金成本构成因素进行分析的基础上，采用适当的方法确定各成本构成因素价格水平，然后累加各成本费用及应得利润，以其之和作为</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租金的方法。采用成本法测算出的</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租金可称为成本租金。</w:t>
      </w:r>
    </w:p>
    <w:p w14:paraId="540CD58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（二）成本法基本公式如下：</w:t>
      </w:r>
    </w:p>
    <w:p w14:paraId="26177A2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年租金=土地成本年摊销额+建设成本年摊销额+室内装饰装修与设施设备成本年摊销额+年运营费+年营销费+年财务费+年利润+年租赁税费</w:t>
      </w:r>
    </w:p>
    <w:p w14:paraId="7E13D47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1.各项成本年摊销额采用以下公式计算</w:t>
      </w:r>
      <w:r>
        <w:rPr>
          <w:rFonts w:hint="eastAsia" w:ascii="Times New Roman" w:hAnsi="Times New Roman" w:eastAsia="方正仿宋_GBK" w:cs="Times New Roman"/>
          <w:sz w:val="32"/>
          <w:szCs w:val="32"/>
        </w:rPr>
        <w:t>：</w:t>
      </w:r>
    </w:p>
    <w:p w14:paraId="5F80235A">
      <w:pPr>
        <w:ind w:firstLine="640" w:firstLineChars="200"/>
        <w:rPr>
          <w:rFonts w:ascii="Times New Roman" w:hAnsi="Times New Roman" w:eastAsia="仿宋" w:cs="Times New Roman"/>
          <w:sz w:val="32"/>
          <w:szCs w:val="32"/>
        </w:rPr>
      </w:pPr>
      <m:oMathPara>
        <m:oMath>
          <m:r>
            <m:rPr>
              <m:nor/>
            </m:rPr>
            <w:rPr>
              <w:rFonts w:ascii="Times New Roman" w:hAnsi="Times New Roman" w:eastAsia="仿宋" w:cs="Times New Roman"/>
              <w:i/>
              <w:sz w:val="32"/>
              <w:szCs w:val="32"/>
            </w:rPr>
            <m:t>C</m:t>
          </m:r>
          <m:r>
            <m:rPr>
              <m:nor/>
              <m:sty m:val="p"/>
            </m:rPr>
            <w:rPr>
              <w:rFonts w:ascii="Times New Roman" w:hAnsi="Times New Roman" w:eastAsia="仿宋" w:cs="Times New Roman"/>
              <w:b w:val="0"/>
              <w:i w:val="0"/>
              <w:sz w:val="32"/>
              <w:szCs w:val="32"/>
            </w:rPr>
            <m:t>=</m:t>
          </m:r>
          <m:sSub>
            <m:sSubPr>
              <m:ctrlPr>
                <w:rPr>
                  <w:rFonts w:ascii="Times New Roman" w:hAnsi="Times New Roman" w:eastAsia="仿宋" w:cs="Times New Roman"/>
                  <w:sz w:val="32"/>
                  <w:szCs w:val="32"/>
                </w:rPr>
              </m:ctrlPr>
            </m:sSubPr>
            <m:e>
              <m:r>
                <m:rPr>
                  <m:nor/>
                </m:rPr>
                <w:rPr>
                  <w:rFonts w:ascii="Times New Roman" w:hAnsi="Times New Roman" w:eastAsia="仿宋" w:cs="Times New Roman"/>
                  <w:i/>
                  <w:sz w:val="32"/>
                  <w:szCs w:val="32"/>
                </w:rPr>
                <m:t>C</m:t>
              </m:r>
              <m:ctrlPr>
                <w:rPr>
                  <w:rFonts w:ascii="Times New Roman" w:hAnsi="Times New Roman" w:eastAsia="仿宋" w:cs="Times New Roman"/>
                  <w:sz w:val="32"/>
                  <w:szCs w:val="32"/>
                </w:rPr>
              </m:ctrlPr>
            </m:e>
            <m:sub>
              <m:r>
                <m:rPr>
                  <m:sty m:val="p"/>
                </m:rPr>
                <w:rPr>
                  <w:rFonts w:ascii="Times New Roman" w:hAnsi="Times New Roman" w:eastAsia="仿宋" w:cs="Times New Roman"/>
                  <w:sz w:val="32"/>
                  <w:szCs w:val="32"/>
                </w:rPr>
                <m:t>1</m:t>
              </m:r>
              <m:ctrlPr>
                <w:rPr>
                  <w:rFonts w:ascii="Times New Roman" w:hAnsi="Times New Roman" w:eastAsia="仿宋" w:cs="Times New Roman"/>
                  <w:sz w:val="32"/>
                  <w:szCs w:val="32"/>
                </w:rPr>
              </m:ctrlPr>
            </m:sub>
          </m:sSub>
          <m:f>
            <m:fPr>
              <m:ctrlPr>
                <w:rPr>
                  <w:rFonts w:ascii="Cambria Math" w:hAnsi="Cambria Math" w:eastAsia="仿宋" w:cs="Times New Roman"/>
                  <w:i/>
                  <w:iCs/>
                  <w:sz w:val="32"/>
                  <w:szCs w:val="32"/>
                </w:rPr>
              </m:ctrlPr>
            </m:fPr>
            <m:num>
              <m:r>
                <m:rPr>
                  <m:nor/>
                </m:rPr>
                <w:rPr>
                  <w:rFonts w:ascii="Times New Roman" w:hAnsi="Times New Roman" w:cs="Times New Roman"/>
                  <w:i/>
                  <w:sz w:val="32"/>
                  <w:szCs w:val="32"/>
                </w:rPr>
                <m:t>i</m:t>
              </m:r>
              <m:r>
                <m:rPr>
                  <m:nor/>
                  <m:sty m:val="p"/>
                </m:rPr>
                <w:rPr>
                  <w:rFonts w:ascii="Times New Roman" w:hAnsi="Times New Roman" w:eastAsia="仿宋" w:cs="Times New Roman"/>
                  <w:b w:val="0"/>
                  <w:i w:val="0"/>
                  <w:sz w:val="32"/>
                  <w:szCs w:val="32"/>
                </w:rPr>
                <m:t>(1+</m:t>
              </m:r>
              <m:r>
                <m:rPr>
                  <m:nor/>
                </m:rPr>
                <w:rPr>
                  <w:rFonts w:ascii="Times New Roman" w:hAnsi="Times New Roman" w:cs="Times New Roman"/>
                  <w:i/>
                  <w:sz w:val="32"/>
                  <w:szCs w:val="32"/>
                </w:rPr>
                <m:t>i</m:t>
              </m:r>
              <m:sSup>
                <m:sSupPr>
                  <m:ctrlPr>
                    <w:rPr>
                      <w:rFonts w:ascii="Cambria Math" w:hAnsi="Cambria Math" w:eastAsia="仿宋" w:cs="Times New Roman"/>
                      <w:i/>
                      <w:iCs/>
                      <w:sz w:val="32"/>
                      <w:szCs w:val="32"/>
                    </w:rPr>
                  </m:ctrlPr>
                </m:sSupPr>
                <m:e>
                  <m:r>
                    <m:rPr>
                      <m:nor/>
                      <m:sty m:val="p"/>
                    </m:rPr>
                    <w:rPr>
                      <w:rFonts w:ascii="Times New Roman" w:hAnsi="Times New Roman" w:eastAsia="仿宋" w:cs="Times New Roman"/>
                      <w:b w:val="0"/>
                      <w:i w:val="0"/>
                      <w:sz w:val="32"/>
                      <w:szCs w:val="32"/>
                    </w:rPr>
                    <m:t>)</m:t>
                  </m:r>
                  <m:ctrlPr>
                    <w:rPr>
                      <w:rFonts w:ascii="Cambria Math" w:hAnsi="Cambria Math" w:eastAsia="仿宋" w:cs="Times New Roman"/>
                      <w:i/>
                      <w:iCs/>
                      <w:sz w:val="32"/>
                      <w:szCs w:val="32"/>
                    </w:rPr>
                  </m:ctrlPr>
                </m:e>
                <m:sup>
                  <m:r>
                    <m:rPr>
                      <m:nor/>
                    </m:rPr>
                    <w:rPr>
                      <w:rFonts w:ascii="Times New Roman" w:hAnsi="Times New Roman" w:eastAsia="仿宋" w:cs="Times New Roman"/>
                      <w:i/>
                      <w:sz w:val="32"/>
                      <w:szCs w:val="32"/>
                    </w:rPr>
                    <m:t>n</m:t>
                  </m:r>
                  <m:ctrlPr>
                    <w:rPr>
                      <w:rFonts w:ascii="Cambria Math" w:hAnsi="Cambria Math" w:eastAsia="仿宋" w:cs="Times New Roman"/>
                      <w:i/>
                      <w:iCs/>
                      <w:sz w:val="32"/>
                      <w:szCs w:val="32"/>
                    </w:rPr>
                  </m:ctrlPr>
                </m:sup>
              </m:sSup>
              <m:ctrlPr>
                <w:rPr>
                  <w:rFonts w:ascii="Cambria Math" w:hAnsi="Cambria Math" w:eastAsia="仿宋" w:cs="Times New Roman"/>
                  <w:i/>
                  <w:iCs/>
                  <w:sz w:val="32"/>
                  <w:szCs w:val="32"/>
                </w:rPr>
              </m:ctrlPr>
            </m:num>
            <m:den>
              <m:r>
                <m:rPr>
                  <m:nor/>
                  <m:sty m:val="p"/>
                </m:rPr>
                <w:rPr>
                  <w:rFonts w:ascii="Times New Roman" w:hAnsi="Times New Roman" w:eastAsia="仿宋" w:cs="Times New Roman"/>
                  <w:b w:val="0"/>
                  <w:i w:val="0"/>
                  <w:sz w:val="32"/>
                  <w:szCs w:val="32"/>
                </w:rPr>
                <m:t>(1+</m:t>
              </m:r>
              <m:r>
                <m:rPr>
                  <m:nor/>
                </m:rPr>
                <w:rPr>
                  <w:rFonts w:ascii="Times New Roman" w:hAnsi="Times New Roman" w:cs="Times New Roman"/>
                  <w:i/>
                  <w:sz w:val="32"/>
                  <w:szCs w:val="32"/>
                </w:rPr>
                <m:t>i</m:t>
              </m:r>
              <m:sSup>
                <m:sSupPr>
                  <m:ctrlPr>
                    <w:rPr>
                      <w:rFonts w:ascii="Cambria Math" w:hAnsi="Cambria Math" w:eastAsia="仿宋" w:cs="Times New Roman"/>
                      <w:i/>
                      <w:iCs/>
                      <w:sz w:val="32"/>
                      <w:szCs w:val="32"/>
                    </w:rPr>
                  </m:ctrlPr>
                </m:sSupPr>
                <m:e>
                  <m:r>
                    <m:rPr>
                      <m:nor/>
                      <m:sty m:val="p"/>
                    </m:rPr>
                    <w:rPr>
                      <w:rFonts w:ascii="Times New Roman" w:hAnsi="Times New Roman" w:eastAsia="仿宋" w:cs="Times New Roman"/>
                      <w:b w:val="0"/>
                      <w:i w:val="0"/>
                      <w:sz w:val="32"/>
                      <w:szCs w:val="32"/>
                    </w:rPr>
                    <m:t>)</m:t>
                  </m:r>
                  <m:ctrlPr>
                    <w:rPr>
                      <w:rFonts w:ascii="Cambria Math" w:hAnsi="Cambria Math" w:eastAsia="仿宋" w:cs="Times New Roman"/>
                      <w:i/>
                      <w:iCs/>
                      <w:sz w:val="32"/>
                      <w:szCs w:val="32"/>
                    </w:rPr>
                  </m:ctrlPr>
                </m:e>
                <m:sup>
                  <m:r>
                    <m:rPr>
                      <m:nor/>
                    </m:rPr>
                    <w:rPr>
                      <w:rFonts w:ascii="Times New Roman" w:hAnsi="Times New Roman" w:eastAsia="仿宋" w:cs="Times New Roman"/>
                      <w:i/>
                      <w:sz w:val="32"/>
                      <w:szCs w:val="32"/>
                    </w:rPr>
                    <m:t>n</m:t>
                  </m:r>
                  <m:ctrlPr>
                    <w:rPr>
                      <w:rFonts w:ascii="Cambria Math" w:hAnsi="Cambria Math" w:eastAsia="仿宋" w:cs="Times New Roman"/>
                      <w:i/>
                      <w:iCs/>
                      <w:sz w:val="32"/>
                      <w:szCs w:val="32"/>
                    </w:rPr>
                  </m:ctrlPr>
                </m:sup>
              </m:sSup>
              <m:r>
                <m:rPr>
                  <m:nor/>
                  <m:sty m:val="p"/>
                </m:rPr>
                <w:rPr>
                  <w:rFonts w:ascii="Times New Roman" w:hAnsi="Times New Roman" w:eastAsia="仿宋" w:cs="Times New Roman"/>
                  <w:b w:val="0"/>
                  <w:i w:val="0"/>
                  <w:sz w:val="32"/>
                  <w:szCs w:val="32"/>
                </w:rPr>
                <m:t>-1</m:t>
              </m:r>
              <m:ctrlPr>
                <w:rPr>
                  <w:rFonts w:ascii="Cambria Math" w:hAnsi="Cambria Math" w:eastAsia="仿宋" w:cs="Times New Roman"/>
                  <w:i/>
                  <w:iCs/>
                  <w:sz w:val="32"/>
                  <w:szCs w:val="32"/>
                </w:rPr>
              </m:ctrlPr>
            </m:den>
          </m:f>
        </m:oMath>
      </m:oMathPara>
    </w:p>
    <w:p w14:paraId="2D1B5E8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C——年摊销额。</w:t>
      </w:r>
    </w:p>
    <w:p w14:paraId="73B7CB5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w:t>
      </w:r>
      <w:r>
        <w:rPr>
          <w:rFonts w:ascii="Times New Roman" w:hAnsi="Times New Roman" w:eastAsia="方正仿宋_GBK" w:cs="Times New Roman"/>
          <w:sz w:val="32"/>
          <w:szCs w:val="32"/>
          <w:vertAlign w:val="subscript"/>
        </w:rPr>
        <w:t>1</w:t>
      </w:r>
      <w:r>
        <w:rPr>
          <w:rFonts w:ascii="Times New Roman" w:hAnsi="Times New Roman" w:eastAsia="方正仿宋_GBK" w:cs="Times New Roman"/>
          <w:sz w:val="32"/>
          <w:szCs w:val="32"/>
        </w:rPr>
        <w:t>——各项成本。土地成本包括相应使用年期的净地价和购地税费、建设期利息；建设成本包括前期费用、建筑安装工程费、基础设施建设费、公共服务设施建设费、其他工程费、开发期间税费、建设期管理费、建设期利息，建设成本是扣除建筑物在价值时点折旧后的成本。</w:t>
      </w:r>
    </w:p>
    <w:p w14:paraId="5ACB5EC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n——摊销年期数，根据摊销对象具体情况确定。</w:t>
      </w:r>
    </w:p>
    <w:p w14:paraId="563042A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i——折现率</w:t>
      </w:r>
      <w:r>
        <w:rPr>
          <w:rFonts w:hint="eastAsia" w:ascii="Times New Roman" w:hAnsi="Times New Roman" w:eastAsia="方正仿宋_GBK" w:cs="Times New Roman"/>
          <w:sz w:val="32"/>
          <w:szCs w:val="32"/>
        </w:rPr>
        <w:t>；此公式中折现率确定主要考虑与摊销年期相匹配的年贷款利率</w:t>
      </w:r>
      <w:r>
        <w:rPr>
          <w:rFonts w:ascii="Times New Roman" w:hAnsi="Times New Roman" w:eastAsia="方正仿宋_GBK" w:cs="Times New Roman"/>
          <w:sz w:val="32"/>
          <w:szCs w:val="32"/>
        </w:rPr>
        <w:t>。</w:t>
      </w:r>
    </w:p>
    <w:p w14:paraId="36B0598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2.年运营费一般包括租赁管理费、资产保险费和维修费；是否包括物业管理费、品牌使用费、能耗费等其他费用需根据租金评估的价值内涵确定。</w:t>
      </w:r>
    </w:p>
    <w:p w14:paraId="00124C8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3.年营销费一般包括广告费、招商或宣传资料制作费、营销人员费用或</w:t>
      </w:r>
      <w:r>
        <w:rPr>
          <w:rFonts w:hint="eastAsia" w:ascii="Times New Roman" w:hAnsi="Times New Roman" w:eastAsia="方正仿宋_GBK" w:cs="Times New Roman"/>
          <w:sz w:val="32"/>
          <w:szCs w:val="32"/>
        </w:rPr>
        <w:t>租赁</w:t>
      </w:r>
      <w:r>
        <w:rPr>
          <w:rFonts w:ascii="Times New Roman" w:hAnsi="Times New Roman" w:eastAsia="方正仿宋_GBK" w:cs="Times New Roman"/>
          <w:sz w:val="32"/>
          <w:szCs w:val="32"/>
        </w:rPr>
        <w:t>佣金等。</w:t>
      </w:r>
    </w:p>
    <w:p w14:paraId="6EC8F63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4.年财务费</w:t>
      </w:r>
      <w:r>
        <w:rPr>
          <w:rFonts w:hint="eastAsia" w:ascii="Times New Roman" w:hAnsi="Times New Roman" w:eastAsia="方正仿宋_GBK" w:cs="Times New Roman"/>
          <w:sz w:val="32"/>
          <w:szCs w:val="32"/>
        </w:rPr>
        <w:t>主要</w:t>
      </w:r>
      <w:r>
        <w:rPr>
          <w:rFonts w:ascii="Times New Roman" w:hAnsi="Times New Roman" w:eastAsia="方正仿宋_GBK" w:cs="Times New Roman"/>
          <w:sz w:val="32"/>
          <w:szCs w:val="32"/>
        </w:rPr>
        <w:t>指年运营费</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营销费</w:t>
      </w:r>
      <w:r>
        <w:rPr>
          <w:rFonts w:hint="eastAsia" w:ascii="Times New Roman" w:hAnsi="Times New Roman" w:eastAsia="方正仿宋_GBK" w:cs="Times New Roman"/>
          <w:sz w:val="32"/>
          <w:szCs w:val="32"/>
        </w:rPr>
        <w:t>和租赁税费</w:t>
      </w:r>
      <w:r>
        <w:rPr>
          <w:rFonts w:ascii="Times New Roman" w:hAnsi="Times New Roman" w:eastAsia="方正仿宋_GBK" w:cs="Times New Roman"/>
          <w:sz w:val="32"/>
          <w:szCs w:val="32"/>
        </w:rPr>
        <w:t>的贷款利息。</w:t>
      </w:r>
    </w:p>
    <w:p w14:paraId="70AA867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5.年利润宜采用所得税前的成本利润率或销售利润率测算。</w:t>
      </w:r>
    </w:p>
    <w:p w14:paraId="16A1C90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6.年租赁税费主要包括土地使用税、房产税、增值税及附加</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w:t>
      </w:r>
    </w:p>
    <w:p w14:paraId="622E0AD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（三）当</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是采用租入资产方式进行改造后再出租的，成本法公式如下：</w:t>
      </w:r>
    </w:p>
    <w:p w14:paraId="581C4C3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年租金=取得租入资产的年租金+改造建设成本年摊销额+新增设施设备成本年摊销额+年运营费+年营销费+年财务费+年利润+年租赁税费</w:t>
      </w:r>
    </w:p>
    <w:p w14:paraId="2850717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1.改造建设成本和新增设施设备成本的摊销年期根据租赁期限计算。</w:t>
      </w:r>
    </w:p>
    <w:p w14:paraId="40C06B4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2.年运营费中的维修费需注意区分出租人和承租人负责维修范围的不同。</w:t>
      </w:r>
    </w:p>
    <w:p w14:paraId="5DB7909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3.年财务费</w:t>
      </w:r>
      <w:r>
        <w:rPr>
          <w:rFonts w:hint="eastAsia" w:ascii="Times New Roman" w:hAnsi="Times New Roman" w:eastAsia="方正仿宋_GBK" w:cs="Times New Roman"/>
          <w:sz w:val="32"/>
          <w:szCs w:val="32"/>
        </w:rPr>
        <w:t>主要</w:t>
      </w:r>
      <w:r>
        <w:rPr>
          <w:rFonts w:ascii="Times New Roman" w:hAnsi="Times New Roman" w:eastAsia="方正仿宋_GBK" w:cs="Times New Roman"/>
          <w:sz w:val="32"/>
          <w:szCs w:val="32"/>
        </w:rPr>
        <w:t>指已支付的租入资产年租金、年运营费</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营销费</w:t>
      </w:r>
      <w:r>
        <w:rPr>
          <w:rFonts w:hint="eastAsia" w:ascii="Times New Roman" w:hAnsi="Times New Roman" w:eastAsia="方正仿宋_GBK" w:cs="Times New Roman"/>
          <w:sz w:val="32"/>
          <w:szCs w:val="32"/>
        </w:rPr>
        <w:t>和租赁税费</w:t>
      </w:r>
      <w:r>
        <w:rPr>
          <w:rFonts w:ascii="Times New Roman" w:hAnsi="Times New Roman" w:eastAsia="方正仿宋_GBK" w:cs="Times New Roman"/>
          <w:sz w:val="32"/>
          <w:szCs w:val="32"/>
        </w:rPr>
        <w:t>的贷款利息。</w:t>
      </w:r>
    </w:p>
    <w:p w14:paraId="5459B46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4.年租赁税费计算时需注意区分出租人和承租人所承担税种与税率的不同。</w:t>
      </w:r>
    </w:p>
    <w:p w14:paraId="3140552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（四）成本法运用的其他</w:t>
      </w:r>
      <w:r>
        <w:rPr>
          <w:rFonts w:hint="eastAsia" w:ascii="Times New Roman" w:hAnsi="Times New Roman" w:eastAsia="方正仿宋_GBK" w:cs="Times New Roman"/>
          <w:sz w:val="32"/>
          <w:szCs w:val="32"/>
        </w:rPr>
        <w:t>注意</w:t>
      </w:r>
      <w:r>
        <w:rPr>
          <w:rFonts w:ascii="Times New Roman" w:hAnsi="Times New Roman" w:eastAsia="方正仿宋_GBK" w:cs="Times New Roman"/>
          <w:sz w:val="32"/>
          <w:szCs w:val="32"/>
        </w:rPr>
        <w:t>事项：</w:t>
      </w:r>
    </w:p>
    <w:p w14:paraId="34BCA1C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1.评估土地成本时，净地价宜采用基准地价系数修正法或比较法评估，土地使用权年期和摊销年期按相应用途的法定最高年期确定，</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土地使用权类型为划拨的，按出让土地使用权评估。</w:t>
      </w:r>
    </w:p>
    <w:p w14:paraId="5F27B31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2.室内装饰装修的摊销年期根据材料和工艺结合使用状况确定，全新状况下摊销年期一般不超过10年；家具家电根据设计寿命确定摊销年期；建筑物的摊销年期为剩余经济寿命年期。</w:t>
      </w:r>
    </w:p>
    <w:p w14:paraId="1416DD1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3.成本法</w:t>
      </w:r>
      <w:r>
        <w:rPr>
          <w:rFonts w:hint="eastAsia" w:ascii="Times New Roman" w:hAnsi="Times New Roman" w:eastAsia="方正仿宋_GBK" w:cs="Times New Roman"/>
          <w:sz w:val="32"/>
          <w:szCs w:val="32"/>
        </w:rPr>
        <w:t>基本公式</w:t>
      </w:r>
      <w:r>
        <w:rPr>
          <w:rFonts w:ascii="Times New Roman" w:hAnsi="Times New Roman" w:eastAsia="方正仿宋_GBK" w:cs="Times New Roman"/>
          <w:sz w:val="32"/>
          <w:szCs w:val="32"/>
        </w:rPr>
        <w:t>测算结果</w:t>
      </w:r>
      <w:r>
        <w:rPr>
          <w:rFonts w:hint="eastAsia" w:ascii="Times New Roman" w:hAnsi="Times New Roman" w:eastAsia="方正仿宋_GBK" w:cs="Times New Roman"/>
          <w:sz w:val="32"/>
          <w:szCs w:val="32"/>
        </w:rPr>
        <w:t>一般</w:t>
      </w:r>
      <w:r>
        <w:rPr>
          <w:rFonts w:ascii="Times New Roman" w:hAnsi="Times New Roman" w:eastAsia="方正仿宋_GBK" w:cs="Times New Roman"/>
          <w:sz w:val="32"/>
          <w:szCs w:val="32"/>
        </w:rPr>
        <w:t>是基于客观投资成本和税费测算的各年均值租金，</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实际租期、租金增长、支付条件、税费负担等租赁条件</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空置损失</w:t>
      </w:r>
      <w:r>
        <w:rPr>
          <w:rFonts w:hint="eastAsia" w:ascii="Times New Roman" w:hAnsi="Times New Roman" w:eastAsia="方正仿宋_GBK" w:cs="Times New Roman"/>
          <w:sz w:val="32"/>
          <w:szCs w:val="32"/>
        </w:rPr>
        <w:t>与年均值租金内涵不一致时，需对成本法测算结果进行调整。</w:t>
      </w:r>
      <w:r>
        <w:rPr>
          <w:rFonts w:ascii="Times New Roman" w:hAnsi="Times New Roman" w:eastAsia="方正仿宋_GBK" w:cs="Times New Roman"/>
          <w:sz w:val="32"/>
          <w:szCs w:val="32"/>
        </w:rPr>
        <w:t>资产的特殊区位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实物状况</w:t>
      </w:r>
      <w:r>
        <w:rPr>
          <w:rFonts w:hint="eastAsia" w:ascii="Times New Roman" w:hAnsi="Times New Roman" w:eastAsia="方正仿宋_GBK" w:cs="Times New Roman"/>
          <w:sz w:val="32"/>
          <w:szCs w:val="32"/>
        </w:rPr>
        <w:t>或权益状况</w:t>
      </w:r>
      <w:r>
        <w:rPr>
          <w:rFonts w:ascii="Times New Roman" w:hAnsi="Times New Roman" w:eastAsia="方正仿宋_GBK" w:cs="Times New Roman"/>
          <w:sz w:val="32"/>
          <w:szCs w:val="32"/>
        </w:rPr>
        <w:t>对</w:t>
      </w:r>
      <w:r>
        <w:rPr>
          <w:rFonts w:hint="eastAsia" w:ascii="Times New Roman" w:hAnsi="Times New Roman" w:eastAsia="方正仿宋_GBK" w:cs="Times New Roman"/>
          <w:sz w:val="32"/>
          <w:szCs w:val="32"/>
        </w:rPr>
        <w:t>市场</w:t>
      </w:r>
      <w:r>
        <w:rPr>
          <w:rFonts w:ascii="Times New Roman" w:hAnsi="Times New Roman" w:eastAsia="方正仿宋_GBK" w:cs="Times New Roman"/>
          <w:sz w:val="32"/>
          <w:szCs w:val="32"/>
        </w:rPr>
        <w:t>租金</w:t>
      </w:r>
      <w:r>
        <w:rPr>
          <w:rFonts w:hint="eastAsia" w:ascii="Times New Roman" w:hAnsi="Times New Roman" w:eastAsia="方正仿宋_GBK" w:cs="Times New Roman"/>
          <w:sz w:val="32"/>
          <w:szCs w:val="32"/>
        </w:rPr>
        <w:t>有影响但成本法测算过程未考虑</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需对这些特征变量进行分析，</w:t>
      </w:r>
      <w:r>
        <w:rPr>
          <w:rFonts w:hint="eastAsia" w:ascii="Times New Roman" w:hAnsi="Times New Roman" w:eastAsia="方正仿宋_GBK" w:cs="Times New Roman"/>
          <w:sz w:val="32"/>
          <w:szCs w:val="32"/>
        </w:rPr>
        <w:t>相应调整成本法测算结果</w:t>
      </w:r>
      <w:r>
        <w:rPr>
          <w:rFonts w:ascii="Times New Roman" w:hAnsi="Times New Roman" w:eastAsia="方正仿宋_GBK" w:cs="Times New Roman"/>
          <w:sz w:val="32"/>
          <w:szCs w:val="32"/>
        </w:rPr>
        <w:t>。</w:t>
      </w:r>
    </w:p>
    <w:p w14:paraId="53DE5421">
      <w:pPr>
        <w:spacing w:beforeLines="50" w:afterLines="50"/>
        <w:jc w:val="center"/>
        <w:rPr>
          <w:rFonts w:ascii="Times New Roman" w:hAnsi="Times New Roman" w:eastAsia="黑体" w:cs="Times New Roman"/>
          <w:sz w:val="32"/>
          <w:szCs w:val="40"/>
        </w:rPr>
      </w:pPr>
      <w:r>
        <w:rPr>
          <w:rFonts w:ascii="Times New Roman" w:hAnsi="Times New Roman" w:eastAsia="黑体" w:cs="Times New Roman"/>
          <w:sz w:val="32"/>
          <w:szCs w:val="40"/>
        </w:rPr>
        <w:t>第四章  不同用途</w:t>
      </w:r>
      <w:r>
        <w:rPr>
          <w:rFonts w:hint="eastAsia" w:ascii="Times New Roman" w:hAnsi="Times New Roman" w:eastAsia="黑体" w:cs="Times New Roman"/>
          <w:sz w:val="32"/>
          <w:szCs w:val="40"/>
        </w:rPr>
        <w:t>的</w:t>
      </w:r>
      <w:r>
        <w:rPr>
          <w:rFonts w:ascii="Times New Roman" w:hAnsi="Times New Roman" w:eastAsia="黑体" w:cs="Times New Roman"/>
          <w:sz w:val="32"/>
          <w:szCs w:val="40"/>
        </w:rPr>
        <w:t>租金评估</w:t>
      </w:r>
    </w:p>
    <w:p w14:paraId="04239640">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40"/>
        </w:rPr>
        <w:t>第十六条</w:t>
      </w:r>
      <w:r>
        <w:rPr>
          <w:rFonts w:ascii="Times New Roman" w:hAnsi="Times New Roman" w:eastAsia="方正仿宋_GBK" w:cs="Times New Roman"/>
          <w:sz w:val="32"/>
          <w:szCs w:val="32"/>
        </w:rPr>
        <w:t>居住用途租金评估主要有市场化租赁住房和政策性租赁住房的租金评估。居住用途租金评估应关注的区位和实物状况因素因子可参考本指引附录相关内容。</w:t>
      </w:r>
    </w:p>
    <w:p w14:paraId="4E2F055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市场化租赁住房租金评估包括居民自有房源租金评估、企业将非住房盘活改造为租赁住房的租金评估、企业将自持商品住房用于租赁的租金评估、住房租赁企业的房源租金评估以及酒店式公寓、人才公寓等市场化经营的住房类租金评估。</w:t>
      </w:r>
    </w:p>
    <w:p w14:paraId="59A4283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市场化租赁住房租金评估应关注用于出租的住房应当符合国家和地方关于住房租赁的法律、法规、规章、强制性标准，不符合的不应当作为</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w:t>
      </w:r>
    </w:p>
    <w:p w14:paraId="4DDD415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政策性租赁住房涉及的租金评估包括公共租赁住房和保障性租赁住房，该两类住房租金一般以同地段、同品质（同类型）市场化租赁住房的市场租金为参照，由相关行政管理部门按照不高于市场租金的一定比例核定或指导确定。</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评估</w:t>
      </w:r>
      <w:r>
        <w:rPr>
          <w:rFonts w:hint="eastAsia" w:ascii="Times New Roman" w:hAnsi="Times New Roman" w:eastAsia="方正仿宋_GBK" w:cs="Times New Roman"/>
          <w:sz w:val="32"/>
          <w:szCs w:val="32"/>
        </w:rPr>
        <w:t>所</w:t>
      </w:r>
      <w:r>
        <w:rPr>
          <w:rFonts w:ascii="Times New Roman" w:hAnsi="Times New Roman" w:eastAsia="方正仿宋_GBK" w:cs="Times New Roman"/>
          <w:sz w:val="32"/>
          <w:szCs w:val="32"/>
        </w:rPr>
        <w:t>参照的市场化租赁住房市场租金时，应符合以下规定：</w:t>
      </w:r>
    </w:p>
    <w:p w14:paraId="447342C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1.同地段是指按照就近原则，在同一或相邻的土地级别、街道辖区、市场板块内选择能够满足市场租金评估所需要的3个住宅小区。</w:t>
      </w:r>
    </w:p>
    <w:p w14:paraId="726A5F5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2.同品质（同类型）是指所选择的住宅小区在配套设施、居住环境、物业管理，以及房屋的建筑结构、总楼层、新旧程度、户型、面积、装饰装修等方面与</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相同或相近。</w:t>
      </w:r>
    </w:p>
    <w:p w14:paraId="1A2F2CE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评估单套政策性租赁住房租金时，可采用比较法的直接比较调整路径；评估一个小区或其中多个楼栋住房的平均租金时，可选取某一套代表性房屋作为标准房，采用比较法评估其市场租金后，通过差异调整评估其他各套房屋的市场租金，将评估范围内的住房总租金除以住房总建筑面积得到平均租金。</w:t>
      </w:r>
    </w:p>
    <w:p w14:paraId="482692C6">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40"/>
        </w:rPr>
        <w:t>第十七条</w:t>
      </w:r>
      <w:r>
        <w:rPr>
          <w:rFonts w:ascii="Times New Roman" w:hAnsi="Times New Roman" w:eastAsia="方正仿宋_GBK" w:cs="Times New Roman"/>
          <w:sz w:val="32"/>
          <w:szCs w:val="32"/>
        </w:rPr>
        <w:t xml:space="preserve"> 非居住用途租金评估包括商业、办公、旅馆、工业和仓储等用途的租金评估，应关注的区位和实物状况因素因子可参考本指引附录相关内容。根据</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特征，还需合理考虑下列因素，进行必要的差异化调整：</w:t>
      </w:r>
    </w:p>
    <w:p w14:paraId="27B52FC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（一）对于</w:t>
      </w:r>
      <w:r>
        <w:rPr>
          <w:rFonts w:hint="eastAsia" w:ascii="Times New Roman" w:hAnsi="Times New Roman" w:eastAsia="方正仿宋_GBK" w:cs="Times New Roman"/>
          <w:sz w:val="32"/>
          <w:szCs w:val="32"/>
        </w:rPr>
        <w:t>商场、购物中心、集中式长租公寓等</w:t>
      </w:r>
      <w:r>
        <w:rPr>
          <w:rFonts w:ascii="Times New Roman" w:hAnsi="Times New Roman" w:eastAsia="方正仿宋_GBK" w:cs="Times New Roman"/>
          <w:sz w:val="32"/>
          <w:szCs w:val="32"/>
        </w:rPr>
        <w:t>大宗经营性租赁资产，一是关注其所处运营阶段，充分考虑开业启动和稳定运营阶段的不同招商</w:t>
      </w:r>
      <w:r>
        <w:rPr>
          <w:rFonts w:hint="eastAsia" w:ascii="Times New Roman" w:hAnsi="Times New Roman" w:eastAsia="方正仿宋_GBK" w:cs="Times New Roman"/>
          <w:sz w:val="32"/>
          <w:szCs w:val="32"/>
        </w:rPr>
        <w:t>或运营</w:t>
      </w:r>
      <w:r>
        <w:rPr>
          <w:rFonts w:ascii="Times New Roman" w:hAnsi="Times New Roman" w:eastAsia="方正仿宋_GBK" w:cs="Times New Roman"/>
          <w:sz w:val="32"/>
          <w:szCs w:val="32"/>
        </w:rPr>
        <w:t>策略对租金在时间序列上的变化影响，在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“特别提示”中进行必要的说明；二是关注</w:t>
      </w:r>
      <w:r>
        <w:rPr>
          <w:rFonts w:hint="eastAsia" w:ascii="Times New Roman" w:hAnsi="Times New Roman" w:eastAsia="方正仿宋_GBK" w:cs="Times New Roman"/>
          <w:sz w:val="32"/>
          <w:szCs w:val="32"/>
        </w:rPr>
        <w:t>不同</w:t>
      </w:r>
      <w:r>
        <w:rPr>
          <w:rFonts w:ascii="Times New Roman" w:hAnsi="Times New Roman" w:eastAsia="方正仿宋_GBK" w:cs="Times New Roman"/>
          <w:sz w:val="32"/>
          <w:szCs w:val="32"/>
        </w:rPr>
        <w:t>经营业态</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租金差异；三是关注整体资产运营方或物业管理方的品牌、运营或服务水平对</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或可比实例租金的影响，在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中说明评估结果是否考虑了这些因素；四是关注租赁条件中对承租人产业类别、企业规模、税收贡献等方面的限制或要求对租金的影响。</w:t>
      </w:r>
    </w:p>
    <w:p w14:paraId="2E4F6E1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（二）对于评估前已长期空置的资产，应分析其原因并考虑对本次评估租金的影响。</w:t>
      </w:r>
    </w:p>
    <w:p w14:paraId="7F296C19">
      <w:pPr>
        <w:spacing w:beforeLines="50" w:afterLines="50"/>
        <w:jc w:val="center"/>
        <w:rPr>
          <w:rFonts w:ascii="Times New Roman" w:hAnsi="Times New Roman" w:eastAsia="黑体" w:cs="Times New Roman"/>
          <w:sz w:val="32"/>
          <w:szCs w:val="40"/>
        </w:rPr>
      </w:pPr>
      <w:r>
        <w:rPr>
          <w:rFonts w:ascii="Times New Roman" w:hAnsi="Times New Roman" w:eastAsia="黑体" w:cs="Times New Roman"/>
          <w:sz w:val="32"/>
          <w:szCs w:val="40"/>
        </w:rPr>
        <w:t>第五章 不同</w:t>
      </w:r>
      <w:r>
        <w:rPr>
          <w:rFonts w:hint="eastAsia" w:ascii="Times New Roman" w:hAnsi="Times New Roman" w:eastAsia="黑体" w:cs="Times New Roman"/>
          <w:sz w:val="32"/>
          <w:szCs w:val="40"/>
        </w:rPr>
        <w:t>估价</w:t>
      </w:r>
      <w:r>
        <w:rPr>
          <w:rFonts w:ascii="Times New Roman" w:hAnsi="Times New Roman" w:eastAsia="黑体" w:cs="Times New Roman"/>
          <w:sz w:val="32"/>
          <w:szCs w:val="40"/>
        </w:rPr>
        <w:t>目的</w:t>
      </w:r>
      <w:r>
        <w:rPr>
          <w:rFonts w:hint="eastAsia" w:ascii="Times New Roman" w:hAnsi="Times New Roman" w:eastAsia="黑体" w:cs="Times New Roman"/>
          <w:sz w:val="32"/>
          <w:szCs w:val="40"/>
        </w:rPr>
        <w:t>下的</w:t>
      </w:r>
      <w:r>
        <w:rPr>
          <w:rFonts w:ascii="Times New Roman" w:hAnsi="Times New Roman" w:eastAsia="黑体" w:cs="Times New Roman"/>
          <w:sz w:val="32"/>
          <w:szCs w:val="40"/>
        </w:rPr>
        <w:t>租金评估</w:t>
      </w:r>
    </w:p>
    <w:p w14:paraId="0D514B6A">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40"/>
        </w:rPr>
        <w:t>第十八条</w:t>
      </w:r>
      <w:r>
        <w:rPr>
          <w:rFonts w:ascii="Times New Roman" w:hAnsi="Times New Roman" w:eastAsia="方正仿宋_GBK" w:cs="Times New Roman"/>
          <w:sz w:val="32"/>
          <w:szCs w:val="32"/>
        </w:rPr>
        <w:t xml:space="preserve"> 为出租方或承租方确定租金标准提供参考依据而评估待出租资产的市场租金，是租金评估最常见的</w:t>
      </w:r>
      <w:r>
        <w:rPr>
          <w:rFonts w:hint="eastAsia" w:ascii="Times New Roman" w:hAnsi="Times New Roman" w:eastAsia="方正仿宋_GBK" w:cs="Times New Roman"/>
          <w:sz w:val="32"/>
          <w:szCs w:val="32"/>
        </w:rPr>
        <w:t>估价目的</w:t>
      </w:r>
      <w:r>
        <w:rPr>
          <w:rFonts w:ascii="Times New Roman" w:hAnsi="Times New Roman" w:eastAsia="方正仿宋_GBK" w:cs="Times New Roman"/>
          <w:sz w:val="32"/>
          <w:szCs w:val="32"/>
        </w:rPr>
        <w:t>。应区分出租人需要的评估和承租人需要的评估，根据</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委托人的需要评估市场租金或其他特定租金。</w:t>
      </w:r>
    </w:p>
    <w:p w14:paraId="274394D6">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第十九条</w:t>
      </w:r>
      <w:r>
        <w:rPr>
          <w:rFonts w:ascii="Times New Roman" w:hAnsi="Times New Roman" w:eastAsia="方正仿宋_GBK" w:cs="Times New Roman"/>
          <w:sz w:val="32"/>
          <w:szCs w:val="32"/>
        </w:rPr>
        <w:t>为税务机关核定计税依据提供参考的租金评估，一般应评估适当租赁条件下的市场租金，税务机关委托按特定</w:t>
      </w:r>
      <w:r>
        <w:rPr>
          <w:rFonts w:hint="eastAsia" w:ascii="Times New Roman" w:hAnsi="Times New Roman" w:eastAsia="方正仿宋_GBK" w:cs="Times New Roman"/>
          <w:sz w:val="32"/>
          <w:szCs w:val="32"/>
        </w:rPr>
        <w:t>租赁</w:t>
      </w:r>
      <w:r>
        <w:rPr>
          <w:rFonts w:ascii="Times New Roman" w:hAnsi="Times New Roman" w:eastAsia="方正仿宋_GBK" w:cs="Times New Roman"/>
          <w:sz w:val="32"/>
          <w:szCs w:val="32"/>
        </w:rPr>
        <w:t>条件评估的从其要求。</w:t>
      </w:r>
    </w:p>
    <w:p w14:paraId="303F5DE5">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第二十条</w:t>
      </w:r>
      <w:r>
        <w:rPr>
          <w:rFonts w:ascii="Times New Roman" w:hAnsi="Times New Roman" w:eastAsia="方正仿宋_GBK" w:cs="Times New Roman"/>
          <w:sz w:val="32"/>
          <w:szCs w:val="32"/>
        </w:rPr>
        <w:t>为人民法院审理案件提供参考依据的租金评估，</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的价值类型、财产范围、租赁用途、价值时点等租赁条件根据人民法院的书面材料确定，并应关注评估程序符合法律法规和人民法院的规定。</w:t>
      </w:r>
    </w:p>
    <w:p w14:paraId="2D781C26">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第二十一条</w:t>
      </w:r>
      <w:r>
        <w:rPr>
          <w:rFonts w:ascii="Times New Roman" w:hAnsi="Times New Roman" w:eastAsia="方正仿宋_GBK" w:cs="Times New Roman"/>
          <w:sz w:val="32"/>
          <w:szCs w:val="32"/>
        </w:rPr>
        <w:t>为了公共利益依法征用资产需按租金给予公平、合理补偿的，一般应按</w:t>
      </w:r>
      <w:r>
        <w:rPr>
          <w:rFonts w:hint="eastAsia" w:ascii="Times New Roman" w:hAnsi="Times New Roman" w:eastAsia="方正仿宋_GBK" w:cs="Times New Roman"/>
          <w:sz w:val="32"/>
          <w:szCs w:val="32"/>
        </w:rPr>
        <w:t>估价委托书</w:t>
      </w:r>
      <w:r>
        <w:rPr>
          <w:rFonts w:ascii="Times New Roman" w:hAnsi="Times New Roman" w:eastAsia="方正仿宋_GBK" w:cs="Times New Roman"/>
          <w:sz w:val="32"/>
          <w:szCs w:val="32"/>
        </w:rPr>
        <w:t>确定的征用期限，评估适当租赁条件下的市场租金。</w:t>
      </w:r>
    </w:p>
    <w:p w14:paraId="5F9AE415">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第二十二条</w:t>
      </w:r>
      <w:r>
        <w:rPr>
          <w:rFonts w:ascii="Times New Roman" w:hAnsi="Times New Roman" w:eastAsia="方正仿宋_GBK" w:cs="Times New Roman"/>
          <w:sz w:val="32"/>
          <w:szCs w:val="32"/>
        </w:rPr>
        <w:t>可出租资产被损害涉及的租金损害赔偿评估，应调查并在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中说明被损害资产在损害发生前后的状况，判断可修复和不可修复的部分，以及可能存在的无形损害恢复周期。可修复的损害，一般评估损害修复期间适当租赁条件下的市场租金总额，以及损害修复后与损害发生前可能存在的租金差额。不可修复的部分，一般评估适当租赁条件下，资产被损害前后两种实物状况下的租金差额。</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注意租金损害赔偿评估与价值减损赔偿评估的关联与区别，同时评估两种时需注意价值内涵不重不漏。</w:t>
      </w:r>
    </w:p>
    <w:p w14:paraId="68474F50">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第二十三条</w:t>
      </w:r>
      <w:r>
        <w:rPr>
          <w:rFonts w:hint="eastAsia" w:ascii="Times New Roman" w:hAnsi="Times New Roman" w:eastAsia="仿宋" w:cs="Times New Roman"/>
          <w:sz w:val="32"/>
          <w:szCs w:val="32"/>
        </w:rPr>
        <w:t>资产证券化评估中基于租金收入的现金流预测</w:t>
      </w:r>
      <w:r>
        <w:rPr>
          <w:rFonts w:ascii="Times New Roman" w:hAnsi="Times New Roman" w:eastAsia="方正仿宋_GBK" w:cs="Times New Roman"/>
          <w:sz w:val="32"/>
          <w:szCs w:val="32"/>
        </w:rPr>
        <w:t>，应遵循一致性原则和一贯性原则，对已出租的资产，应当进行租赁状况调查和分析，查看</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租赁合同原件，审慎判断正常租金水平和预测未来收益趋势。</w:t>
      </w:r>
    </w:p>
    <w:p w14:paraId="56A8D21D">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第二十四条</w:t>
      </w:r>
      <w:r>
        <w:rPr>
          <w:rFonts w:ascii="Times New Roman" w:hAnsi="Times New Roman" w:eastAsia="方正仿宋_GBK" w:cs="Times New Roman"/>
          <w:sz w:val="32"/>
          <w:szCs w:val="32"/>
        </w:rPr>
        <w:t>受政府部门或其他机构委托承担住房租金监测的估价机构，应执行设区市地方人民政府行政主管部门或房地产估价行业协会印发的租金监测评估技术标准。所在地尚未印发技术标准的，估价机构可自行制订租金监测技术</w:t>
      </w:r>
      <w:r>
        <w:rPr>
          <w:rFonts w:hint="eastAsia" w:ascii="Times New Roman" w:hAnsi="Times New Roman" w:eastAsia="方正仿宋_GBK" w:cs="Times New Roman"/>
          <w:sz w:val="32"/>
          <w:szCs w:val="32"/>
        </w:rPr>
        <w:t>方案</w:t>
      </w:r>
      <w:r>
        <w:rPr>
          <w:rFonts w:ascii="Times New Roman" w:hAnsi="Times New Roman" w:eastAsia="方正仿宋_GBK" w:cs="Times New Roman"/>
          <w:sz w:val="32"/>
          <w:szCs w:val="32"/>
        </w:rPr>
        <w:t>，包括技术路线、工作规范和相关要求。估价机构</w:t>
      </w:r>
      <w:r>
        <w:rPr>
          <w:rFonts w:hint="eastAsia" w:ascii="Times New Roman" w:hAnsi="Times New Roman" w:eastAsia="方正仿宋_GBK" w:cs="Times New Roman"/>
          <w:sz w:val="32"/>
          <w:szCs w:val="32"/>
        </w:rPr>
        <w:t>以</w:t>
      </w:r>
      <w:r>
        <w:rPr>
          <w:rFonts w:ascii="Times New Roman" w:hAnsi="Times New Roman" w:eastAsia="方正仿宋_GBK" w:cs="Times New Roman"/>
          <w:sz w:val="32"/>
          <w:szCs w:val="32"/>
        </w:rPr>
        <w:t>自行制</w:t>
      </w:r>
      <w:r>
        <w:rPr>
          <w:rFonts w:hint="eastAsia" w:ascii="Times New Roman" w:hAnsi="Times New Roman" w:eastAsia="方正仿宋_GBK" w:cs="Times New Roman"/>
          <w:sz w:val="32"/>
          <w:szCs w:val="32"/>
        </w:rPr>
        <w:t>订</w:t>
      </w:r>
      <w:r>
        <w:rPr>
          <w:rFonts w:ascii="Times New Roman" w:hAnsi="Times New Roman" w:eastAsia="方正仿宋_GBK" w:cs="Times New Roman"/>
          <w:sz w:val="32"/>
          <w:szCs w:val="32"/>
        </w:rPr>
        <w:t>的技术</w:t>
      </w:r>
      <w:r>
        <w:rPr>
          <w:rFonts w:hint="eastAsia" w:ascii="Times New Roman" w:hAnsi="Times New Roman" w:eastAsia="方正仿宋_GBK" w:cs="Times New Roman"/>
          <w:sz w:val="32"/>
          <w:szCs w:val="32"/>
        </w:rPr>
        <w:t>方案承担政府部门委托住房租金监测的，在实施前宜将技术方案提交</w:t>
      </w:r>
      <w:r>
        <w:rPr>
          <w:rFonts w:ascii="Times New Roman" w:hAnsi="Times New Roman" w:eastAsia="方正仿宋_GBK" w:cs="Times New Roman"/>
          <w:sz w:val="32"/>
          <w:szCs w:val="32"/>
        </w:rPr>
        <w:t>设区市地方人民政府行政主管部门</w:t>
      </w:r>
      <w:r>
        <w:rPr>
          <w:rFonts w:hint="eastAsia" w:ascii="Times New Roman" w:hAnsi="Times New Roman" w:eastAsia="方正仿宋_GBK" w:cs="Times New Roman"/>
          <w:sz w:val="32"/>
          <w:szCs w:val="32"/>
        </w:rPr>
        <w:t>或</w:t>
      </w:r>
      <w:r>
        <w:rPr>
          <w:rFonts w:ascii="Times New Roman" w:hAnsi="Times New Roman" w:eastAsia="方正仿宋_GBK" w:cs="Times New Roman"/>
          <w:sz w:val="32"/>
          <w:szCs w:val="32"/>
        </w:rPr>
        <w:t>房地产估价行业协会</w:t>
      </w:r>
      <w:r>
        <w:rPr>
          <w:rFonts w:hint="eastAsia" w:ascii="Times New Roman" w:hAnsi="Times New Roman" w:eastAsia="方正仿宋_GBK" w:cs="Times New Roman"/>
          <w:sz w:val="32"/>
          <w:szCs w:val="32"/>
        </w:rPr>
        <w:t>征求意见，修订完善后</w:t>
      </w:r>
      <w:r>
        <w:rPr>
          <w:rFonts w:ascii="Times New Roman" w:hAnsi="Times New Roman" w:eastAsia="方正仿宋_GBK" w:cs="Times New Roman"/>
          <w:sz w:val="32"/>
          <w:szCs w:val="32"/>
        </w:rPr>
        <w:t>实施。</w:t>
      </w:r>
    </w:p>
    <w:p w14:paraId="77FBC6DA">
      <w:pPr>
        <w:spacing w:beforeLines="50"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第六章  特殊事项处理</w:t>
      </w:r>
    </w:p>
    <w:p w14:paraId="41236016">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第二十五条</w:t>
      </w:r>
      <w:r>
        <w:rPr>
          <w:rFonts w:ascii="Times New Roman" w:hAnsi="Times New Roman" w:eastAsia="方正仿宋_GBK" w:cs="Times New Roman"/>
          <w:sz w:val="32"/>
          <w:szCs w:val="32"/>
        </w:rPr>
        <w:t>当</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未明确租赁条件的，应评估适当租赁条件下的租金，在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“估价假设和限制条件”的“未定事项假设”中列举说明适当租赁条件的具体内容，并假设不存在其他影响租金的特殊条款。当</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已明确的主要租赁条件不属于适当租赁条件时，评估时按特定租赁条件处理：一是要分析特定租赁条件的合理合规性，确保不存在与法律法规相冲突的租赁条件，在“一般假设”中说明租赁条件的合理性；二是特定租赁条件中存在特殊条款或特别的租金激励或优惠条件时应说明不考虑其影响，由委托人根据市场租金结果进行调整。租赁条件</w:t>
      </w:r>
      <w:r>
        <w:rPr>
          <w:rFonts w:hint="eastAsia" w:ascii="Times New Roman" w:hAnsi="Times New Roman" w:eastAsia="方正仿宋_GBK" w:cs="Times New Roman"/>
          <w:sz w:val="32"/>
          <w:szCs w:val="32"/>
        </w:rPr>
        <w:t>的有关假设</w:t>
      </w:r>
      <w:r>
        <w:rPr>
          <w:rFonts w:ascii="Times New Roman" w:hAnsi="Times New Roman" w:eastAsia="方正仿宋_GBK" w:cs="Times New Roman"/>
          <w:sz w:val="32"/>
          <w:szCs w:val="32"/>
        </w:rPr>
        <w:t>应当是必要的、合理的、有依据的，不应随意假设。</w:t>
      </w:r>
    </w:p>
    <w:p w14:paraId="38C8B5C3">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第二十六条</w:t>
      </w:r>
      <w:r>
        <w:rPr>
          <w:rFonts w:hint="eastAsia" w:ascii="Times New Roman" w:hAnsi="Times New Roman" w:eastAsia="方正仿宋_GBK" w:cs="Times New Roman"/>
          <w:sz w:val="32"/>
          <w:szCs w:val="32"/>
        </w:rPr>
        <w:t>当追溯性或预测性</w:t>
      </w:r>
      <w:r>
        <w:rPr>
          <w:rFonts w:ascii="Times New Roman" w:hAnsi="Times New Roman" w:eastAsia="方正仿宋_GBK" w:cs="Times New Roman"/>
          <w:sz w:val="32"/>
          <w:szCs w:val="32"/>
        </w:rPr>
        <w:t>评估一段连续时间的租金</w:t>
      </w:r>
      <w:r>
        <w:rPr>
          <w:rFonts w:hint="eastAsia" w:ascii="Times New Roman" w:hAnsi="Times New Roman" w:eastAsia="方正仿宋_GBK" w:cs="Times New Roman"/>
          <w:sz w:val="32"/>
          <w:szCs w:val="32"/>
        </w:rPr>
        <w:t>时</w:t>
      </w:r>
      <w:r>
        <w:rPr>
          <w:rFonts w:ascii="Times New Roman" w:hAnsi="Times New Roman" w:eastAsia="方正仿宋_GBK" w:cs="Times New Roman"/>
          <w:sz w:val="32"/>
          <w:szCs w:val="32"/>
        </w:rPr>
        <w:t>，可</w:t>
      </w:r>
      <w:r>
        <w:rPr>
          <w:rFonts w:hint="eastAsia" w:ascii="Times New Roman" w:hAnsi="Times New Roman" w:eastAsia="方正仿宋_GBK" w:cs="Times New Roman"/>
          <w:sz w:val="32"/>
          <w:szCs w:val="32"/>
        </w:rPr>
        <w:t>先</w:t>
      </w:r>
      <w:r>
        <w:rPr>
          <w:rFonts w:ascii="Times New Roman" w:hAnsi="Times New Roman" w:eastAsia="方正仿宋_GBK" w:cs="Times New Roman"/>
          <w:sz w:val="32"/>
          <w:szCs w:val="32"/>
        </w:rPr>
        <w:t>将该连续时间以年</w:t>
      </w:r>
      <w:r>
        <w:rPr>
          <w:rFonts w:hint="eastAsia" w:ascii="Times New Roman" w:hAnsi="Times New Roman" w:eastAsia="方正仿宋_GBK" w:cs="Times New Roman"/>
          <w:sz w:val="32"/>
          <w:szCs w:val="32"/>
        </w:rPr>
        <w:t>、季或其他时间单位</w:t>
      </w:r>
      <w:r>
        <w:rPr>
          <w:rFonts w:ascii="Times New Roman" w:hAnsi="Times New Roman" w:eastAsia="方正仿宋_GBK" w:cs="Times New Roman"/>
          <w:sz w:val="32"/>
          <w:szCs w:val="32"/>
        </w:rPr>
        <w:t>划分为若干</w:t>
      </w:r>
      <w:r>
        <w:rPr>
          <w:rFonts w:hint="eastAsia" w:ascii="Times New Roman" w:hAnsi="Times New Roman" w:eastAsia="方正仿宋_GBK" w:cs="Times New Roman"/>
          <w:sz w:val="32"/>
          <w:szCs w:val="32"/>
        </w:rPr>
        <w:t>分</w:t>
      </w:r>
      <w:r>
        <w:rPr>
          <w:rFonts w:ascii="Times New Roman" w:hAnsi="Times New Roman" w:eastAsia="方正仿宋_GBK" w:cs="Times New Roman"/>
          <w:sz w:val="32"/>
          <w:szCs w:val="32"/>
        </w:rPr>
        <w:t>段</w:t>
      </w:r>
      <w:r>
        <w:rPr>
          <w:rFonts w:hint="eastAsia" w:ascii="Times New Roman" w:hAnsi="Times New Roman" w:eastAsia="方正仿宋_GBK" w:cs="Times New Roman"/>
          <w:sz w:val="32"/>
          <w:szCs w:val="32"/>
        </w:rPr>
        <w:t>，一般以该连续时间的起始日为价值时点，以价值时点的市场状况和资产状况为起点，按照已确定的租赁条件或调查的市场状况评估各分段租金，估价结果是各分段租金之和。委托人要求考虑该连续时间内各分段租金的资金时间价值时，应按照具体委托要求，依据现值原理或终值原理计算分段租金的现值或终值。</w:t>
      </w:r>
    </w:p>
    <w:p w14:paraId="715ABC52">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第二十七条</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为大宗租赁资产的，应在</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委托书中明确是整体出租还是分割出租，整体出租的需考虑整租规模调整。</w:t>
      </w:r>
    </w:p>
    <w:p w14:paraId="04A6B72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本指引剩余法技术路径已</w:t>
      </w:r>
      <w:r>
        <w:rPr>
          <w:rFonts w:hint="eastAsia" w:ascii="Times New Roman" w:hAnsi="Times New Roman" w:eastAsia="方正仿宋_GBK" w:cs="Times New Roman"/>
          <w:sz w:val="32"/>
          <w:szCs w:val="32"/>
        </w:rPr>
        <w:t>包括</w:t>
      </w:r>
      <w:r>
        <w:rPr>
          <w:rFonts w:ascii="Times New Roman" w:hAnsi="Times New Roman" w:eastAsia="方正仿宋_GBK" w:cs="Times New Roman"/>
          <w:sz w:val="32"/>
          <w:szCs w:val="32"/>
        </w:rPr>
        <w:t>了整租规模调整的主要因素。成本法和价值折算法在综合调整中未考虑的，应再进行专门调整。</w:t>
      </w:r>
    </w:p>
    <w:p w14:paraId="5702CCE4">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第二十八条</w:t>
      </w:r>
      <w:r>
        <w:rPr>
          <w:rFonts w:ascii="Times New Roman" w:hAnsi="Times New Roman" w:eastAsia="方正仿宋_GBK" w:cs="Times New Roman"/>
          <w:sz w:val="32"/>
          <w:szCs w:val="32"/>
        </w:rPr>
        <w:t>租金评估一般按权属登记用途评估，登记用途与土地规划用途、建筑设计用途不一致的，可根据</w:t>
      </w:r>
      <w:r>
        <w:rPr>
          <w:rFonts w:hint="eastAsia" w:ascii="Times New Roman" w:hAnsi="Times New Roman" w:eastAsia="方正仿宋_GBK" w:cs="Times New Roman"/>
          <w:sz w:val="32"/>
          <w:szCs w:val="32"/>
        </w:rPr>
        <w:t>估价目的</w:t>
      </w:r>
      <w:r>
        <w:rPr>
          <w:rFonts w:ascii="Times New Roman" w:hAnsi="Times New Roman" w:eastAsia="方正仿宋_GBK" w:cs="Times New Roman"/>
          <w:sz w:val="32"/>
          <w:szCs w:val="32"/>
        </w:rPr>
        <w:t>或最高最佳利用原则选择其中一种用途。委托评估用途与以上用途均不一致的，需分析与城市更新、低效用地再开发、存量资产盘活和功能兼容转换等政策的符合性，符合相关政策的可按委托用途出具租金</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；不符合相关政策的宜出具租金咨询性</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，并提示按委托评估用途经营可能存在的相应风险。</w:t>
      </w:r>
    </w:p>
    <w:p w14:paraId="13DB91C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评估用途与登记用途、规划用途、设计用途不一致的，应在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“估价假设和限制条件”的“不相一致假设”中予以说明。</w:t>
      </w:r>
    </w:p>
    <w:p w14:paraId="15307C2D">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第二十九条</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已被相关部门明确为违法占地、违法建设、超过批准期限的临时建筑等违法不动产的，不应当列入</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财产范围。</w:t>
      </w:r>
    </w:p>
    <w:p w14:paraId="47771E2A">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中未被明确为违法不动产的无证房和未超过批准期限</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临时建筑，应要求</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对房屋用途、建筑面积等予以书面明确，在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“估价假设和限制条件”的“依据不足假设”中予以说明，并提示使用无证房屋或超过批准期限的临时建筑存在的相应风险。</w:t>
      </w:r>
    </w:p>
    <w:p w14:paraId="68D73D3D">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第三十条</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土地使用权类型为划拨的，一般按出让土地评估市场租金。</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“特别提示”中应说明租金评估结果中包含了需上</w:t>
      </w:r>
      <w:r>
        <w:rPr>
          <w:rFonts w:hint="eastAsia" w:ascii="Times New Roman" w:hAnsi="Times New Roman" w:eastAsia="方正仿宋_GBK" w:cs="Times New Roman"/>
          <w:sz w:val="32"/>
          <w:szCs w:val="32"/>
        </w:rPr>
        <w:t>缴</w:t>
      </w:r>
      <w:r>
        <w:rPr>
          <w:rFonts w:ascii="Times New Roman" w:hAnsi="Times New Roman" w:eastAsia="方正仿宋_GBK" w:cs="Times New Roman"/>
          <w:sz w:val="32"/>
          <w:szCs w:val="32"/>
        </w:rPr>
        <w:t>政府的土地收益，地方人民政府公布了土地收益处理规定的，可列明按规定计算的土地收益金额。</w:t>
      </w:r>
    </w:p>
    <w:p w14:paraId="3826FAD5">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第三十一条</w:t>
      </w:r>
      <w:r>
        <w:rPr>
          <w:rFonts w:ascii="Times New Roman" w:hAnsi="Times New Roman" w:eastAsia="方正仿宋_GBK" w:cs="Times New Roman"/>
          <w:sz w:val="32"/>
          <w:szCs w:val="32"/>
        </w:rPr>
        <w:t>委托评估实际成本租金的，是否计算利润以及目标利润率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租金增长率、支付条件由</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确定，空置损失率根据同类资产的平均水平确定。</w:t>
      </w:r>
    </w:p>
    <w:p w14:paraId="6428A981">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第三十二条</w:t>
      </w:r>
      <w:r>
        <w:rPr>
          <w:rFonts w:ascii="Times New Roman" w:hAnsi="Times New Roman" w:eastAsia="方正仿宋_GBK" w:cs="Times New Roman"/>
          <w:sz w:val="32"/>
          <w:szCs w:val="32"/>
        </w:rPr>
        <w:t>评估市场租金时一般不考虑</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在价值时点已抵押、已查封和尚未终止的租赁权。存在此情形的，在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“估价假设和限制条件”的“背离事实假设”中予以说明。</w:t>
      </w:r>
    </w:p>
    <w:p w14:paraId="31E55598">
      <w:pPr>
        <w:spacing w:beforeLines="50"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第七章  评估结果与</w:t>
      </w:r>
      <w:r>
        <w:rPr>
          <w:rFonts w:hint="eastAsia" w:ascii="Times New Roman" w:hAnsi="Times New Roman" w:eastAsia="黑体" w:cs="Times New Roman"/>
          <w:sz w:val="32"/>
          <w:szCs w:val="32"/>
        </w:rPr>
        <w:t>报告类型</w:t>
      </w:r>
    </w:p>
    <w:p w14:paraId="23D7887E">
      <w:pPr>
        <w:ind w:firstLine="640" w:firstLineChars="200"/>
        <w:rPr>
          <w:rFonts w:ascii="Times New Roman" w:hAnsi="Times New Roman" w:eastAsia="方正楷体_GBK" w:cs="Times New Roman"/>
          <w:b/>
          <w:bCs/>
          <w:sz w:val="32"/>
          <w:szCs w:val="32"/>
        </w:rPr>
      </w:pPr>
      <w:r>
        <w:rPr>
          <w:rFonts w:hint="eastAsia" w:ascii="黑体" w:hAnsi="黑体" w:eastAsia="黑体" w:cs="黑体"/>
          <w:sz w:val="32"/>
          <w:szCs w:val="32"/>
        </w:rPr>
        <w:t>第三十三条</w:t>
      </w:r>
      <w:r>
        <w:rPr>
          <w:rFonts w:ascii="Times New Roman" w:hAnsi="Times New Roman" w:eastAsia="方正仿宋_GBK" w:cs="Times New Roman"/>
          <w:sz w:val="32"/>
          <w:szCs w:val="32"/>
        </w:rPr>
        <w:t>采用两种以上方法评估租金的，在确认测算过程无差错和价值内涵一致后，应根据</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特点和</w:t>
      </w:r>
      <w:r>
        <w:rPr>
          <w:rFonts w:hint="eastAsia" w:ascii="Times New Roman" w:hAnsi="Times New Roman" w:eastAsia="方正仿宋_GBK" w:cs="Times New Roman"/>
          <w:sz w:val="32"/>
          <w:szCs w:val="32"/>
        </w:rPr>
        <w:t>估价目的</w:t>
      </w:r>
      <w:r>
        <w:rPr>
          <w:rFonts w:ascii="Times New Roman" w:hAnsi="Times New Roman" w:eastAsia="方正仿宋_GBK" w:cs="Times New Roman"/>
          <w:sz w:val="32"/>
          <w:szCs w:val="32"/>
        </w:rPr>
        <w:t>，比较分析各方法测算结果的可靠性</w:t>
      </w:r>
      <w:r>
        <w:rPr>
          <w:rFonts w:hint="eastAsia" w:ascii="Times New Roman" w:hAnsi="Times New Roman" w:eastAsia="方正仿宋_GBK" w:cs="Times New Roman"/>
          <w:sz w:val="32"/>
          <w:szCs w:val="32"/>
        </w:rPr>
        <w:t>和与</w:t>
      </w:r>
      <w:r>
        <w:rPr>
          <w:rFonts w:ascii="Times New Roman" w:hAnsi="Times New Roman" w:eastAsia="方正仿宋_GBK" w:cs="Times New Roman"/>
          <w:sz w:val="32"/>
          <w:szCs w:val="32"/>
        </w:rPr>
        <w:t>市场</w:t>
      </w:r>
      <w:r>
        <w:rPr>
          <w:rFonts w:hint="eastAsia" w:ascii="Times New Roman" w:hAnsi="Times New Roman" w:eastAsia="方正仿宋_GBK" w:cs="Times New Roman"/>
          <w:sz w:val="32"/>
          <w:szCs w:val="32"/>
        </w:rPr>
        <w:t>背景分析的一致性，</w:t>
      </w:r>
      <w:r>
        <w:rPr>
          <w:rFonts w:ascii="Times New Roman" w:hAnsi="Times New Roman" w:eastAsia="方正仿宋_GBK" w:cs="Times New Roman"/>
          <w:sz w:val="32"/>
          <w:szCs w:val="32"/>
        </w:rPr>
        <w:t>综合确定</w:t>
      </w:r>
      <w:r>
        <w:rPr>
          <w:rFonts w:hint="eastAsia" w:ascii="Times New Roman" w:hAnsi="Times New Roman" w:eastAsia="方正仿宋_GBK" w:cs="Times New Roman"/>
          <w:sz w:val="32"/>
          <w:szCs w:val="32"/>
        </w:rPr>
        <w:t>租金</w:t>
      </w:r>
      <w:r>
        <w:rPr>
          <w:rFonts w:ascii="Times New Roman" w:hAnsi="Times New Roman" w:eastAsia="方正仿宋_GBK" w:cs="Times New Roman"/>
          <w:sz w:val="32"/>
          <w:szCs w:val="32"/>
        </w:rPr>
        <w:t>评估结果。</w:t>
      </w:r>
    </w:p>
    <w:p w14:paraId="2E234C27">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第三十四条</w:t>
      </w:r>
      <w:r>
        <w:rPr>
          <w:rFonts w:ascii="Times New Roman" w:hAnsi="Times New Roman" w:eastAsia="方正仿宋_GBK" w:cs="Times New Roman"/>
          <w:sz w:val="32"/>
          <w:szCs w:val="32"/>
        </w:rPr>
        <w:t>租金评估结果包括租金评估</w:t>
      </w:r>
      <w:r>
        <w:rPr>
          <w:rFonts w:hint="eastAsia" w:ascii="Times New Roman" w:hAnsi="Times New Roman" w:eastAsia="方正仿宋_GBK" w:cs="Times New Roman"/>
          <w:sz w:val="32"/>
          <w:szCs w:val="32"/>
        </w:rPr>
        <w:t>值</w:t>
      </w:r>
      <w:r>
        <w:rPr>
          <w:rFonts w:ascii="Times New Roman" w:hAnsi="Times New Roman" w:eastAsia="方正仿宋_GBK" w:cs="Times New Roman"/>
          <w:sz w:val="32"/>
          <w:szCs w:val="32"/>
        </w:rPr>
        <w:t>和相关专业意见，相关专业意见是对租金评估</w:t>
      </w:r>
      <w:r>
        <w:rPr>
          <w:rFonts w:hint="eastAsia" w:ascii="Times New Roman" w:hAnsi="Times New Roman" w:eastAsia="方正仿宋_GBK" w:cs="Times New Roman"/>
          <w:sz w:val="32"/>
          <w:szCs w:val="32"/>
        </w:rPr>
        <w:t>值</w:t>
      </w:r>
      <w:r>
        <w:rPr>
          <w:rFonts w:ascii="Times New Roman" w:hAnsi="Times New Roman" w:eastAsia="方正仿宋_GBK" w:cs="Times New Roman"/>
          <w:sz w:val="32"/>
          <w:szCs w:val="32"/>
        </w:rPr>
        <w:t>的成立前提或应用条件等信息的相关说明，可在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“特别提示”中表述。</w:t>
      </w:r>
    </w:p>
    <w:p w14:paraId="698C48C7">
      <w:pPr>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租金</w:t>
      </w:r>
      <w:r>
        <w:rPr>
          <w:rFonts w:ascii="Times New Roman" w:hAnsi="Times New Roman" w:eastAsia="方正仿宋_GBK" w:cs="Times New Roman"/>
          <w:sz w:val="32"/>
          <w:szCs w:val="32"/>
        </w:rPr>
        <w:t>评估</w:t>
      </w:r>
      <w:r>
        <w:rPr>
          <w:rFonts w:hint="eastAsia" w:ascii="Times New Roman" w:hAnsi="Times New Roman" w:eastAsia="方正仿宋_GBK" w:cs="Times New Roman"/>
          <w:sz w:val="32"/>
          <w:szCs w:val="32"/>
        </w:rPr>
        <w:t>值</w:t>
      </w:r>
      <w:r>
        <w:rPr>
          <w:rFonts w:ascii="Times New Roman" w:hAnsi="Times New Roman" w:eastAsia="方正仿宋_GBK" w:cs="Times New Roman"/>
          <w:sz w:val="32"/>
          <w:szCs w:val="32"/>
        </w:rPr>
        <w:t>包括评估单价和评估总价，评估单价表示单位根据</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特征或</w:t>
      </w:r>
      <w:r>
        <w:rPr>
          <w:rFonts w:hint="eastAsia" w:ascii="Times New Roman" w:hAnsi="Times New Roman" w:eastAsia="方正仿宋_GBK" w:cs="Times New Roman"/>
          <w:sz w:val="32"/>
          <w:szCs w:val="32"/>
        </w:rPr>
        <w:t>估价委托书</w:t>
      </w:r>
      <w:r>
        <w:rPr>
          <w:rFonts w:ascii="Times New Roman" w:hAnsi="Times New Roman" w:eastAsia="方正仿宋_GBK" w:cs="Times New Roman"/>
          <w:sz w:val="32"/>
          <w:szCs w:val="32"/>
        </w:rPr>
        <w:t>、交易习惯确定，通常表述为单位面积日租金或月租金。评估总价应表明是某种时间单位和总量规模下的</w:t>
      </w:r>
      <w:r>
        <w:rPr>
          <w:rFonts w:hint="eastAsia" w:ascii="Times New Roman" w:hAnsi="Times New Roman" w:eastAsia="方正仿宋_GBK" w:cs="Times New Roman"/>
          <w:sz w:val="32"/>
          <w:szCs w:val="32"/>
        </w:rPr>
        <w:t>评估值</w:t>
      </w:r>
      <w:r>
        <w:rPr>
          <w:rFonts w:ascii="Times New Roman" w:hAnsi="Times New Roman" w:eastAsia="方正仿宋_GBK" w:cs="Times New Roman"/>
          <w:sz w:val="32"/>
          <w:szCs w:val="32"/>
        </w:rPr>
        <w:t>。</w:t>
      </w:r>
    </w:p>
    <w:p w14:paraId="77D6D139">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第三十五条</w:t>
      </w: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委托人函中应当作出包括但不限于下列内容的特别提示：</w:t>
      </w:r>
    </w:p>
    <w:p w14:paraId="273A4FB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（一）评估结果是</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在相应租赁条件下的租金数额，</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应关注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“估价假设和限制条件”中列明的租赁条件。</w:t>
      </w:r>
    </w:p>
    <w:p w14:paraId="08EC9E6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（二）评估结果是估价师按照评估程序，模拟市场价格形成机制所得出的客观价值专业意见，此结果仅为</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确定资产租金提供参考依据，不是</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交易时可实现的成交价格，也不应当被视为对</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成交价格的保证。</w:t>
      </w:r>
    </w:p>
    <w:p w14:paraId="06E4609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估价委托人</w:t>
      </w:r>
      <w:r>
        <w:rPr>
          <w:rFonts w:ascii="Times New Roman" w:hAnsi="Times New Roman" w:eastAsia="方正仿宋_GBK" w:cs="Times New Roman"/>
          <w:sz w:val="32"/>
          <w:szCs w:val="32"/>
        </w:rPr>
        <w:t>应当按照法律规定和</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报告载明的用途、使用人、使用期限等使用范围使用</w:t>
      </w:r>
      <w:r>
        <w:rPr>
          <w:rFonts w:hint="eastAsia" w:ascii="Times New Roman" w:hAnsi="Times New Roman" w:eastAsia="方正仿宋_GBK" w:cs="Times New Roman"/>
          <w:sz w:val="32"/>
          <w:szCs w:val="32"/>
        </w:rPr>
        <w:t>估价报告</w:t>
      </w:r>
      <w:r>
        <w:rPr>
          <w:rFonts w:ascii="Times New Roman" w:hAnsi="Times New Roman" w:eastAsia="方正仿宋_GBK" w:cs="Times New Roman"/>
          <w:sz w:val="32"/>
          <w:szCs w:val="32"/>
        </w:rPr>
        <w:t>。否则，估价机构和估价师依法不承担责任。</w:t>
      </w:r>
    </w:p>
    <w:p w14:paraId="3D841B10">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第三十六条</w:t>
      </w:r>
      <w:r>
        <w:rPr>
          <w:rFonts w:ascii="Times New Roman" w:hAnsi="Times New Roman" w:eastAsia="方正仿宋_GBK" w:cs="Times New Roman"/>
          <w:sz w:val="32"/>
          <w:szCs w:val="32"/>
        </w:rPr>
        <w:t>租金评估应区分鉴证性</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与咨询性</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。属于鉴证性</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的，报告名称宜表述为某类资产的“租金</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报告”；属于咨询性</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的，可表述为某类资产的“租金咨询性</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报告”，但不得表述为某类资产的“租金</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咨询报告”</w:t>
      </w:r>
      <w:r>
        <w:rPr>
          <w:rFonts w:hint="eastAsia" w:ascii="Times New Roman" w:hAnsi="Times New Roman" w:eastAsia="方正仿宋_GBK" w:cs="Times New Roman"/>
          <w:sz w:val="32"/>
          <w:szCs w:val="32"/>
        </w:rPr>
        <w:t>或</w:t>
      </w:r>
      <w:r>
        <w:rPr>
          <w:rFonts w:ascii="Times New Roman" w:hAnsi="Times New Roman" w:eastAsia="方正仿宋_GBK" w:cs="Times New Roman"/>
          <w:sz w:val="32"/>
          <w:szCs w:val="32"/>
        </w:rPr>
        <w:t>“租金</w:t>
      </w:r>
      <w:r>
        <w:rPr>
          <w:rFonts w:hint="eastAsia" w:ascii="Times New Roman" w:hAnsi="Times New Roman" w:eastAsia="方正仿宋_GBK" w:cs="Times New Roman"/>
          <w:sz w:val="32"/>
          <w:szCs w:val="32"/>
        </w:rPr>
        <w:t>评估</w:t>
      </w:r>
      <w:r>
        <w:rPr>
          <w:rFonts w:ascii="Times New Roman" w:hAnsi="Times New Roman" w:eastAsia="方正仿宋_GBK" w:cs="Times New Roman"/>
          <w:sz w:val="32"/>
          <w:szCs w:val="32"/>
        </w:rPr>
        <w:t>咨询报告”。</w:t>
      </w:r>
    </w:p>
    <w:p w14:paraId="0470720F">
      <w:pPr>
        <w:spacing w:beforeLines="50"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第八章  附则</w:t>
      </w:r>
    </w:p>
    <w:p w14:paraId="60A95711">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第三十七条</w:t>
      </w:r>
      <w:r>
        <w:rPr>
          <w:rFonts w:ascii="Times New Roman" w:hAnsi="Times New Roman" w:eastAsia="方正仿宋_GBK" w:cs="Times New Roman"/>
          <w:sz w:val="32"/>
          <w:szCs w:val="32"/>
        </w:rPr>
        <w:t>估价机构应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按照“明码标价、质价相符”的原则收取租金评估费，维护行业形象，鼓励公平竞争，反对“内卷式”竞争。</w:t>
      </w:r>
    </w:p>
    <w:p w14:paraId="7F8E26B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租金评估收费，可以按照</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对应的市场价值总额，参照公认的房屋土地资产评估行业收费标准，综合项目难易程度后计算。也可按照履行完整</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程序所发生的总工时乘以估价师的工时工资计算；工时工资包括估价师直接工资和估价机构</w:t>
      </w:r>
      <w:r>
        <w:rPr>
          <w:rFonts w:hint="eastAsia" w:ascii="Times New Roman" w:hAnsi="Times New Roman" w:eastAsia="方正仿宋_GBK" w:cs="Times New Roman"/>
          <w:sz w:val="32"/>
          <w:szCs w:val="32"/>
        </w:rPr>
        <w:t>其他</w:t>
      </w:r>
      <w:r>
        <w:rPr>
          <w:rFonts w:ascii="Times New Roman" w:hAnsi="Times New Roman" w:eastAsia="方正仿宋_GBK" w:cs="Times New Roman"/>
          <w:sz w:val="32"/>
          <w:szCs w:val="32"/>
        </w:rPr>
        <w:t>成本及利润等，不同级别估价师工时工资不同。</w:t>
      </w:r>
    </w:p>
    <w:p w14:paraId="26FF671D">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第三十八条</w:t>
      </w:r>
      <w:r>
        <w:rPr>
          <w:rFonts w:ascii="Times New Roman" w:hAnsi="Times New Roman" w:eastAsia="方正仿宋_GBK" w:cs="Times New Roman"/>
          <w:sz w:val="32"/>
          <w:szCs w:val="32"/>
        </w:rPr>
        <w:t>本指引未</w:t>
      </w:r>
      <w:r>
        <w:rPr>
          <w:rFonts w:hint="eastAsia" w:ascii="Times New Roman" w:hAnsi="Times New Roman" w:eastAsia="方正仿宋_GBK" w:cs="Times New Roman"/>
          <w:sz w:val="32"/>
          <w:szCs w:val="32"/>
        </w:rPr>
        <w:t>作</w:t>
      </w:r>
      <w:r>
        <w:rPr>
          <w:rFonts w:ascii="Times New Roman" w:hAnsi="Times New Roman" w:eastAsia="方正仿宋_GBK" w:cs="Times New Roman"/>
          <w:sz w:val="32"/>
          <w:szCs w:val="32"/>
        </w:rPr>
        <w:t>规定的事宜，按照《房地产估价规范》和中国房地产估价师与房地产经纪人学会印发的相关规定执行。</w:t>
      </w:r>
    </w:p>
    <w:p w14:paraId="720B028F">
      <w:pPr>
        <w:ind w:firstLine="640" w:firstLineChars="200"/>
        <w:rPr>
          <w:rFonts w:ascii="Times New Roman" w:hAnsi="Times New Roman" w:eastAsia="方正仿宋_GBK" w:cs="Times New Roman"/>
          <w:sz w:val="32"/>
          <w:szCs w:val="32"/>
        </w:rPr>
      </w:pPr>
      <w:r>
        <w:rPr>
          <w:rFonts w:hint="eastAsia" w:ascii="黑体" w:hAnsi="黑体" w:eastAsia="黑体" w:cs="黑体"/>
          <w:sz w:val="32"/>
          <w:szCs w:val="32"/>
        </w:rPr>
        <w:t>第三十九条</w:t>
      </w:r>
      <w:r>
        <w:rPr>
          <w:rFonts w:ascii="Times New Roman" w:hAnsi="Times New Roman" w:eastAsia="方正仿宋_GBK" w:cs="Times New Roman"/>
          <w:sz w:val="32"/>
          <w:szCs w:val="32"/>
        </w:rPr>
        <w:t>本指引自印发之日起施行。施行期间由江苏省房地产估价与经纪协会负责解释，并根据政策和实施情况，适时修订。</w:t>
      </w:r>
    </w:p>
    <w:p w14:paraId="14D31185">
      <w:pPr>
        <w:ind w:firstLine="640" w:firstLineChars="200"/>
        <w:rPr>
          <w:rFonts w:ascii="Times New Roman" w:hAnsi="Times New Roman" w:eastAsia="方正仿宋_GBK" w:cs="Times New Roman"/>
          <w:sz w:val="32"/>
          <w:szCs w:val="32"/>
        </w:rPr>
      </w:pPr>
    </w:p>
    <w:p w14:paraId="0FD45B57">
      <w:pPr>
        <w:ind w:firstLine="640" w:firstLineChars="200"/>
        <w:rPr>
          <w:rFonts w:ascii="Times New Roman" w:hAnsi="Times New Roman" w:eastAsia="方正仿宋_GBK"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14:paraId="17A9307A">
      <w:pPr>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附录：租金评估应重点关注的</w:t>
      </w:r>
      <w:r>
        <w:rPr>
          <w:rFonts w:hint="eastAsia" w:ascii="Times New Roman" w:hAnsi="Times New Roman" w:eastAsia="方正小标宋_GBK" w:cs="Times New Roman"/>
          <w:sz w:val="32"/>
          <w:szCs w:val="32"/>
        </w:rPr>
        <w:t>区位和实物</w:t>
      </w:r>
      <w:r>
        <w:rPr>
          <w:rFonts w:ascii="Times New Roman" w:hAnsi="Times New Roman" w:eastAsia="方正小标宋_GBK" w:cs="Times New Roman"/>
          <w:sz w:val="32"/>
          <w:szCs w:val="32"/>
        </w:rPr>
        <w:t>影响因素因子</w:t>
      </w:r>
    </w:p>
    <w:p w14:paraId="3F7448F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估价师应针对</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的用途、利用特点和对相应影响因素的敏感程度，对本附录附表所列区位和实物因素因子给予重点关注，在</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中有所选择和侧重。在实际</w:t>
      </w:r>
      <w:r>
        <w:rPr>
          <w:rFonts w:hint="eastAsia" w:ascii="Times New Roman" w:hAnsi="Times New Roman" w:eastAsia="方正仿宋_GBK" w:cs="Times New Roman"/>
          <w:sz w:val="32"/>
          <w:szCs w:val="32"/>
        </w:rPr>
        <w:t>估价</w:t>
      </w:r>
      <w:r>
        <w:rPr>
          <w:rFonts w:ascii="Times New Roman" w:hAnsi="Times New Roman" w:eastAsia="方正仿宋_GBK" w:cs="Times New Roman"/>
          <w:sz w:val="32"/>
          <w:szCs w:val="32"/>
        </w:rPr>
        <w:t>中有本附录未列出</w:t>
      </w:r>
      <w:r>
        <w:rPr>
          <w:rFonts w:hint="eastAsia" w:ascii="Times New Roman" w:hAnsi="Times New Roman" w:eastAsia="方正仿宋_GBK" w:cs="Times New Roman"/>
          <w:sz w:val="32"/>
          <w:szCs w:val="32"/>
        </w:rPr>
        <w:t>但</w:t>
      </w:r>
      <w:r>
        <w:rPr>
          <w:rFonts w:ascii="Times New Roman" w:hAnsi="Times New Roman" w:eastAsia="方正仿宋_GBK" w:cs="Times New Roman"/>
          <w:sz w:val="32"/>
          <w:szCs w:val="32"/>
        </w:rPr>
        <w:t>对租金有明显影响的其他因素或因子时，由估价师评估后纳入调整范围。各因素因子的系数范围、权重，可通过回归分析法、层次分析法、德尔菲法等技术方法确定。</w:t>
      </w:r>
    </w:p>
    <w:p w14:paraId="57E30E6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租金评估中，</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用途有以下常见类别：</w:t>
      </w:r>
    </w:p>
    <w:p w14:paraId="56665B7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1.住房：包括住宅、公寓等市场化租赁住房和政策性租赁住房。</w:t>
      </w:r>
    </w:p>
    <w:p w14:paraId="7B9B4B2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2.商铺：包括沿街店铺、住宅底商、写字楼底商等。</w:t>
      </w:r>
    </w:p>
    <w:p w14:paraId="7F44CE7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3.商场：包括商业街、百货商场（店）、购物中心、专业市场、超级市场等。</w:t>
      </w:r>
    </w:p>
    <w:p w14:paraId="4ACE258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4.办公：包括商用办公楼、科技研发楼等。</w:t>
      </w:r>
    </w:p>
    <w:p w14:paraId="45AF989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5.旅馆：包括酒店、宾馆、度假村、民宿等以住宿用途为主的房地产。</w:t>
      </w:r>
    </w:p>
    <w:p w14:paraId="5252496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6.工业和仓储：包括厂房、仓库、厂区办公用房和设备用房等。</w:t>
      </w:r>
    </w:p>
    <w:p w14:paraId="263DD13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7.其他：包括停车场、停车位、人防工程、医院、学校、码头、公共空间等。</w:t>
      </w:r>
    </w:p>
    <w:p w14:paraId="5C5E9F90">
      <w:pPr>
        <w:spacing w:line="600" w:lineRule="exact"/>
        <w:ind w:firstLine="640" w:firstLineChars="200"/>
        <w:rPr>
          <w:rFonts w:ascii="Times New Roman" w:hAnsi="Times New Roman" w:eastAsia="仿宋" w:cs="Times New Roman"/>
          <w:sz w:val="28"/>
          <w:szCs w:val="36"/>
        </w:rPr>
      </w:pPr>
      <w:r>
        <w:rPr>
          <w:rFonts w:ascii="Times New Roman" w:hAnsi="Times New Roman" w:eastAsia="方正仿宋_GBK" w:cs="Times New Roman"/>
          <w:sz w:val="32"/>
          <w:szCs w:val="32"/>
        </w:rPr>
        <w:t>当</w:t>
      </w:r>
      <w:r>
        <w:rPr>
          <w:rFonts w:hint="eastAsia" w:ascii="Times New Roman" w:hAnsi="Times New Roman" w:eastAsia="方正仿宋_GBK" w:cs="Times New Roman"/>
          <w:sz w:val="32"/>
          <w:szCs w:val="32"/>
        </w:rPr>
        <w:t>估价对象</w:t>
      </w:r>
      <w:r>
        <w:rPr>
          <w:rFonts w:ascii="Times New Roman" w:hAnsi="Times New Roman" w:eastAsia="方正仿宋_GBK" w:cs="Times New Roman"/>
          <w:sz w:val="32"/>
          <w:szCs w:val="32"/>
        </w:rPr>
        <w:t>同时具有上述多个用途时，应分别界定各用途比例后进行评估。</w:t>
      </w:r>
    </w:p>
    <w:p w14:paraId="534AA241">
      <w:pPr>
        <w:numPr>
          <w:ilvl w:val="255"/>
          <w:numId w:val="0"/>
        </w:numPr>
        <w:spacing w:line="560" w:lineRule="exact"/>
        <w:ind w:firstLine="560" w:firstLineChars="200"/>
        <w:jc w:val="left"/>
        <w:rPr>
          <w:rFonts w:ascii="Times New Roman" w:hAnsi="Times New Roman" w:eastAsia="仿宋" w:cs="Times New Roman"/>
          <w:sz w:val="28"/>
          <w:szCs w:val="36"/>
        </w:rPr>
        <w:sectPr>
          <w:pgSz w:w="11906" w:h="16838"/>
          <w:pgMar w:top="1440" w:right="1803" w:bottom="1440" w:left="1803" w:header="851" w:footer="992" w:gutter="0"/>
          <w:cols w:space="0" w:num="1"/>
          <w:docGrid w:type="lines" w:linePitch="312" w:charSpace="0"/>
        </w:sectPr>
      </w:pPr>
    </w:p>
    <w:p w14:paraId="2ED9D77B">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表1  住房类租金影响因素因子说明表</w:t>
      </w:r>
    </w:p>
    <w:tbl>
      <w:tblPr>
        <w:tblStyle w:val="9"/>
        <w:tblW w:w="86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212"/>
        <w:gridCol w:w="1774"/>
        <w:gridCol w:w="4480"/>
      </w:tblGrid>
      <w:tr w14:paraId="01EA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212" w:type="dxa"/>
            <w:tcBorders>
              <w:tl2br w:val="nil"/>
              <w:tr2bl w:val="nil"/>
            </w:tcBorders>
            <w:shd w:val="clear" w:color="auto" w:fill="auto"/>
            <w:vAlign w:val="center"/>
          </w:tcPr>
          <w:p w14:paraId="3C49DBF4">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212" w:type="dxa"/>
            <w:tcBorders>
              <w:tl2br w:val="nil"/>
              <w:tr2bl w:val="nil"/>
            </w:tcBorders>
            <w:shd w:val="clear" w:color="auto" w:fill="auto"/>
            <w:vAlign w:val="center"/>
          </w:tcPr>
          <w:p w14:paraId="04950604">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774" w:type="dxa"/>
            <w:tcBorders>
              <w:right w:val="single" w:color="auto" w:sz="4" w:space="0"/>
              <w:tl2br w:val="nil"/>
              <w:tr2bl w:val="nil"/>
            </w:tcBorders>
            <w:shd w:val="clear" w:color="auto" w:fill="auto"/>
            <w:vAlign w:val="center"/>
          </w:tcPr>
          <w:p w14:paraId="7F89E36D">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480" w:type="dxa"/>
            <w:tcBorders>
              <w:left w:val="single" w:color="auto" w:sz="4" w:space="0"/>
              <w:tl2br w:val="nil"/>
              <w:tr2bl w:val="nil"/>
            </w:tcBorders>
            <w:shd w:val="clear" w:color="auto" w:fill="auto"/>
            <w:vAlign w:val="center"/>
          </w:tcPr>
          <w:p w14:paraId="66BA26B7">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01D7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restart"/>
            <w:tcBorders>
              <w:tl2br w:val="nil"/>
              <w:tr2bl w:val="nil"/>
            </w:tcBorders>
            <w:shd w:val="clear" w:color="auto" w:fill="auto"/>
            <w:vAlign w:val="center"/>
          </w:tcPr>
          <w:p w14:paraId="0AA27A3A">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区位状况（邻里与环境特性）</w:t>
            </w:r>
          </w:p>
        </w:tc>
        <w:tc>
          <w:tcPr>
            <w:tcW w:w="1212" w:type="dxa"/>
            <w:vMerge w:val="restart"/>
            <w:tcBorders>
              <w:tl2br w:val="nil"/>
              <w:tr2bl w:val="nil"/>
            </w:tcBorders>
            <w:shd w:val="clear" w:color="auto" w:fill="auto"/>
            <w:vAlign w:val="center"/>
          </w:tcPr>
          <w:p w14:paraId="16EF6BBF">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参照“15分钟生活圈”标准，</w:t>
            </w:r>
            <w:r>
              <w:rPr>
                <w:rFonts w:hint="eastAsia" w:ascii="Times New Roman" w:hAnsi="Times New Roman" w:eastAsia="方正仿宋_GBK" w:cs="Times New Roman"/>
                <w:kern w:val="0"/>
                <w:szCs w:val="21"/>
              </w:rPr>
              <w:t>评估</w:t>
            </w:r>
            <w:r>
              <w:rPr>
                <w:rFonts w:ascii="Times New Roman" w:hAnsi="Times New Roman" w:eastAsia="方正仿宋_GBK" w:cs="Times New Roman"/>
                <w:kern w:val="0"/>
                <w:szCs w:val="21"/>
              </w:rPr>
              <w:t>住房外部800-1000m内环境与配套对居住便利性与生活品质的综合影响</w:t>
            </w:r>
          </w:p>
        </w:tc>
        <w:tc>
          <w:tcPr>
            <w:tcW w:w="1774" w:type="dxa"/>
            <w:tcBorders>
              <w:right w:val="single" w:color="auto" w:sz="4" w:space="0"/>
              <w:tl2br w:val="nil"/>
              <w:tr2bl w:val="nil"/>
            </w:tcBorders>
            <w:shd w:val="clear" w:color="auto" w:fill="auto"/>
            <w:vAlign w:val="center"/>
          </w:tcPr>
          <w:p w14:paraId="1C31C031">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4480" w:type="dxa"/>
            <w:tcBorders>
              <w:left w:val="single" w:color="auto" w:sz="4" w:space="0"/>
              <w:tl2br w:val="nil"/>
              <w:tr2bl w:val="nil"/>
            </w:tcBorders>
            <w:shd w:val="clear" w:color="auto" w:fill="auto"/>
            <w:vAlign w:val="center"/>
          </w:tcPr>
          <w:p w14:paraId="4FF8EA76">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至地铁站、公交枢纽的距离与线路数量是</w:t>
            </w:r>
            <w:r>
              <w:rPr>
                <w:rFonts w:hint="eastAsia" w:ascii="Times New Roman" w:hAnsi="Times New Roman" w:eastAsia="方正仿宋_GBK" w:cs="Times New Roman"/>
                <w:kern w:val="0"/>
                <w:szCs w:val="21"/>
              </w:rPr>
              <w:t>该因子的</w:t>
            </w:r>
            <w:r>
              <w:rPr>
                <w:rFonts w:ascii="Times New Roman" w:hAnsi="Times New Roman" w:eastAsia="方正仿宋_GBK" w:cs="Times New Roman"/>
                <w:kern w:val="0"/>
                <w:szCs w:val="21"/>
              </w:rPr>
              <w:t>核心。对通勤族，尤其是年轻租客而言，是权重最高的因子之一</w:t>
            </w:r>
          </w:p>
        </w:tc>
      </w:tr>
      <w:tr w14:paraId="2ADB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continue"/>
            <w:tcBorders>
              <w:tl2br w:val="nil"/>
              <w:tr2bl w:val="nil"/>
            </w:tcBorders>
            <w:shd w:val="clear" w:color="auto" w:fill="auto"/>
            <w:vAlign w:val="center"/>
          </w:tcPr>
          <w:p w14:paraId="57F754DC">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1930AA51">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10E99FC5">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就业中心距离</w:t>
            </w:r>
          </w:p>
        </w:tc>
        <w:tc>
          <w:tcPr>
            <w:tcW w:w="4480" w:type="dxa"/>
            <w:tcBorders>
              <w:left w:val="single" w:color="auto" w:sz="4" w:space="0"/>
              <w:tl2br w:val="nil"/>
              <w:tr2bl w:val="nil"/>
            </w:tcBorders>
            <w:shd w:val="clear" w:color="auto" w:fill="auto"/>
            <w:vAlign w:val="center"/>
          </w:tcPr>
          <w:p w14:paraId="23F4E4DD">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至市中心、CBD、主要产业园区/办公集聚区的通勤时间与成本。距离越近或通勤越便捷，租金溢价越高</w:t>
            </w:r>
          </w:p>
        </w:tc>
      </w:tr>
      <w:tr w14:paraId="167C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continue"/>
            <w:tcBorders>
              <w:tl2br w:val="nil"/>
              <w:tr2bl w:val="nil"/>
            </w:tcBorders>
            <w:shd w:val="clear" w:color="auto" w:fill="auto"/>
            <w:vAlign w:val="center"/>
          </w:tcPr>
          <w:p w14:paraId="1499E9F3">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5AD89001">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04F8C41C">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生活便利度</w:t>
            </w:r>
          </w:p>
        </w:tc>
        <w:tc>
          <w:tcPr>
            <w:tcW w:w="4480" w:type="dxa"/>
            <w:tcBorders>
              <w:left w:val="single" w:color="auto" w:sz="4" w:space="0"/>
              <w:tl2br w:val="nil"/>
              <w:tr2bl w:val="nil"/>
            </w:tcBorders>
            <w:shd w:val="clear" w:color="auto" w:fill="auto"/>
            <w:vAlign w:val="center"/>
          </w:tcPr>
          <w:p w14:paraId="264998F4">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菜场、超市、药店、餐饮、快递驿站等日常高频配套的完备度。</w:t>
            </w:r>
            <w:r>
              <w:rPr>
                <w:rFonts w:hint="eastAsia" w:ascii="Times New Roman" w:hAnsi="Times New Roman" w:eastAsia="方正仿宋_GBK" w:cs="Times New Roman"/>
                <w:kern w:val="0"/>
                <w:szCs w:val="21"/>
              </w:rPr>
              <w:t>需关注</w:t>
            </w:r>
            <w:r>
              <w:rPr>
                <w:rFonts w:ascii="Times New Roman" w:hAnsi="Times New Roman" w:eastAsia="方正仿宋_GBK" w:cs="Times New Roman"/>
                <w:kern w:val="0"/>
                <w:szCs w:val="21"/>
              </w:rPr>
              <w:t>体验型配套（如健身房、咖啡馆）的重要性在提升</w:t>
            </w:r>
          </w:p>
        </w:tc>
      </w:tr>
      <w:tr w14:paraId="483A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continue"/>
            <w:tcBorders>
              <w:tl2br w:val="nil"/>
              <w:tr2bl w:val="nil"/>
            </w:tcBorders>
            <w:shd w:val="clear" w:color="auto" w:fill="auto"/>
            <w:vAlign w:val="center"/>
          </w:tcPr>
          <w:p w14:paraId="6BAD8239">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7831189F">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2EC7900A">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教育资源</w:t>
            </w:r>
          </w:p>
        </w:tc>
        <w:tc>
          <w:tcPr>
            <w:tcW w:w="4480" w:type="dxa"/>
            <w:tcBorders>
              <w:left w:val="single" w:color="auto" w:sz="4" w:space="0"/>
              <w:tl2br w:val="nil"/>
              <w:tr2bl w:val="nil"/>
            </w:tcBorders>
            <w:shd w:val="clear" w:color="auto" w:fill="auto"/>
            <w:vAlign w:val="center"/>
          </w:tcPr>
          <w:p w14:paraId="5AFA0AD7">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在实行“租售同权”的地区，优质义务教育学区是决定性因素之一，未实行地区则影响微弱；优质高中校周边住房租赁需求较高于一般区域</w:t>
            </w:r>
          </w:p>
        </w:tc>
      </w:tr>
      <w:tr w14:paraId="1B2F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continue"/>
            <w:tcBorders>
              <w:tl2br w:val="nil"/>
              <w:tr2bl w:val="nil"/>
            </w:tcBorders>
            <w:shd w:val="clear" w:color="auto" w:fill="auto"/>
            <w:vAlign w:val="center"/>
          </w:tcPr>
          <w:p w14:paraId="331C207A">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7DA5A4D6">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01B96C1A">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周围环境</w:t>
            </w:r>
          </w:p>
        </w:tc>
        <w:tc>
          <w:tcPr>
            <w:tcW w:w="4480" w:type="dxa"/>
            <w:tcBorders>
              <w:left w:val="single" w:color="auto" w:sz="4" w:space="0"/>
              <w:tl2br w:val="nil"/>
              <w:tr2bl w:val="nil"/>
            </w:tcBorders>
            <w:shd w:val="clear" w:color="auto" w:fill="auto"/>
            <w:vAlign w:val="center"/>
          </w:tcPr>
          <w:p w14:paraId="20BB7BA3">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自然/人文环境：邻近公园、水系等对高端租赁影响显著</w:t>
            </w:r>
          </w:p>
          <w:p w14:paraId="799EF613">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基础环境：对于普通租赁，更关注社区的整洁度、安静度（</w:t>
            </w:r>
            <w:r>
              <w:rPr>
                <w:rFonts w:hint="eastAsia" w:ascii="Times New Roman" w:hAnsi="Times New Roman" w:eastAsia="方正仿宋_GBK" w:cs="Times New Roman"/>
                <w:kern w:val="0"/>
                <w:szCs w:val="21"/>
              </w:rPr>
              <w:t>无噪声</w:t>
            </w:r>
            <w:r>
              <w:rPr>
                <w:rFonts w:ascii="Times New Roman" w:hAnsi="Times New Roman" w:eastAsia="方正仿宋_GBK" w:cs="Times New Roman"/>
                <w:kern w:val="0"/>
                <w:szCs w:val="21"/>
              </w:rPr>
              <w:t>污染）和治安水平</w:t>
            </w:r>
          </w:p>
        </w:tc>
      </w:tr>
      <w:tr w14:paraId="6822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2" w:hRule="atLeast"/>
          <w:tblHeader/>
          <w:jc w:val="center"/>
        </w:trPr>
        <w:tc>
          <w:tcPr>
            <w:tcW w:w="1212" w:type="dxa"/>
            <w:vMerge w:val="continue"/>
            <w:tcBorders>
              <w:tl2br w:val="nil"/>
              <w:tr2bl w:val="nil"/>
            </w:tcBorders>
            <w:shd w:val="clear" w:color="auto" w:fill="auto"/>
            <w:vAlign w:val="center"/>
          </w:tcPr>
          <w:p w14:paraId="341FF0EA">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4E8C47FE">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49A8CAFE">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市场竞争格局</w:t>
            </w:r>
          </w:p>
        </w:tc>
        <w:tc>
          <w:tcPr>
            <w:tcW w:w="4480" w:type="dxa"/>
            <w:tcBorders>
              <w:left w:val="single" w:color="auto" w:sz="4" w:space="0"/>
              <w:tl2br w:val="nil"/>
              <w:tr2bl w:val="nil"/>
            </w:tcBorders>
            <w:shd w:val="clear" w:color="auto" w:fill="auto"/>
            <w:vAlign w:val="center"/>
          </w:tcPr>
          <w:p w14:paraId="6000F331">
            <w:pPr>
              <w:widowControl/>
              <w:spacing w:line="40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对于规模性经营的长租公寓等居住类项目，需考虑</w:t>
            </w:r>
            <w:r>
              <w:rPr>
                <w:rFonts w:ascii="Times New Roman" w:hAnsi="Times New Roman" w:eastAsia="方正仿宋_GBK" w:cs="Times New Roman"/>
                <w:kern w:val="0"/>
                <w:szCs w:val="21"/>
              </w:rPr>
              <w:t>周边可比竞争项目的数量、体量、定位、租金水平，以及对本项目造成的分流压力</w:t>
            </w:r>
          </w:p>
        </w:tc>
      </w:tr>
      <w:tr w14:paraId="3342C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1" w:hRule="atLeast"/>
          <w:tblHeader/>
          <w:jc w:val="center"/>
        </w:trPr>
        <w:tc>
          <w:tcPr>
            <w:tcW w:w="1212" w:type="dxa"/>
            <w:vMerge w:val="continue"/>
            <w:tcBorders>
              <w:tl2br w:val="nil"/>
              <w:tr2bl w:val="nil"/>
            </w:tcBorders>
            <w:shd w:val="clear" w:color="auto" w:fill="auto"/>
            <w:vAlign w:val="center"/>
          </w:tcPr>
          <w:p w14:paraId="3E2FB8F7">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60541C65">
            <w:pPr>
              <w:widowControl/>
              <w:jc w:val="center"/>
              <w:textAlignment w:val="center"/>
              <w:rPr>
                <w:rFonts w:ascii="Times New Roman" w:hAnsi="Times New Roman" w:eastAsia="方正仿宋_GBK" w:cs="Times New Roman"/>
                <w:kern w:val="0"/>
                <w:szCs w:val="21"/>
              </w:rPr>
            </w:pPr>
          </w:p>
        </w:tc>
        <w:tc>
          <w:tcPr>
            <w:tcW w:w="1774" w:type="dxa"/>
            <w:tcBorders>
              <w:right w:val="single" w:color="auto" w:sz="4" w:space="0"/>
              <w:tl2br w:val="nil"/>
              <w:tr2bl w:val="nil"/>
            </w:tcBorders>
            <w:shd w:val="clear" w:color="auto" w:fill="auto"/>
            <w:vAlign w:val="center"/>
          </w:tcPr>
          <w:p w14:paraId="330CEB92">
            <w:pPr>
              <w:widowControl/>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微观区位</w:t>
            </w:r>
          </w:p>
        </w:tc>
        <w:tc>
          <w:tcPr>
            <w:tcW w:w="4480" w:type="dxa"/>
            <w:tcBorders>
              <w:left w:val="single" w:color="auto" w:sz="4" w:space="0"/>
              <w:tl2br w:val="nil"/>
              <w:tr2bl w:val="nil"/>
            </w:tcBorders>
            <w:shd w:val="clear" w:color="auto" w:fill="auto"/>
            <w:vAlign w:val="center"/>
          </w:tcPr>
          <w:p w14:paraId="287D5E45">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szCs w:val="21"/>
              </w:rPr>
              <w:t>此处主要考虑所在楼层和朝向。</w:t>
            </w:r>
            <w:r>
              <w:rPr>
                <w:rFonts w:ascii="Times New Roman" w:hAnsi="Times New Roman" w:eastAsia="方正仿宋_GBK" w:cs="Times New Roman"/>
                <w:kern w:val="0"/>
                <w:szCs w:val="21"/>
              </w:rPr>
              <w:t>对于</w:t>
            </w:r>
            <w:r>
              <w:rPr>
                <w:rFonts w:hint="eastAsia" w:ascii="Times New Roman" w:hAnsi="Times New Roman" w:eastAsia="方正仿宋_GBK" w:cs="Times New Roman"/>
                <w:kern w:val="0"/>
                <w:szCs w:val="21"/>
              </w:rPr>
              <w:t>租赁住房</w:t>
            </w:r>
            <w:r>
              <w:rPr>
                <w:rFonts w:ascii="Times New Roman" w:hAnsi="Times New Roman" w:eastAsia="方正仿宋_GBK" w:cs="Times New Roman"/>
                <w:kern w:val="0"/>
                <w:szCs w:val="21"/>
              </w:rPr>
              <w:t>，租金对楼层这个单一因子敏感</w:t>
            </w:r>
            <w:r>
              <w:rPr>
                <w:rFonts w:hint="eastAsia" w:ascii="Times New Roman" w:hAnsi="Times New Roman" w:eastAsia="方正仿宋_GBK" w:cs="Times New Roman"/>
                <w:kern w:val="0"/>
                <w:szCs w:val="21"/>
              </w:rPr>
              <w:t>程度</w:t>
            </w:r>
            <w:r>
              <w:rPr>
                <w:rFonts w:ascii="Times New Roman" w:hAnsi="Times New Roman" w:eastAsia="方正仿宋_GBK" w:cs="Times New Roman"/>
                <w:kern w:val="0"/>
                <w:szCs w:val="21"/>
              </w:rPr>
              <w:t>较低，尤其对于有电梯的楼房；通常情况是楼层与朝向综合后的采光、通风、视野，对租金更为敏感</w:t>
            </w:r>
          </w:p>
        </w:tc>
      </w:tr>
      <w:tr w14:paraId="69D5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restart"/>
            <w:tcBorders>
              <w:tl2br w:val="nil"/>
              <w:tr2bl w:val="nil"/>
            </w:tcBorders>
            <w:shd w:val="clear" w:color="auto" w:fill="auto"/>
            <w:vAlign w:val="center"/>
          </w:tcPr>
          <w:p w14:paraId="4DEC1E01">
            <w:pPr>
              <w:widowControl/>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实物状况（建筑与空间特性）</w:t>
            </w:r>
          </w:p>
        </w:tc>
        <w:tc>
          <w:tcPr>
            <w:tcW w:w="1212" w:type="dxa"/>
            <w:vMerge w:val="restart"/>
            <w:tcBorders>
              <w:tl2br w:val="nil"/>
              <w:tr2bl w:val="nil"/>
            </w:tcBorders>
            <w:shd w:val="clear" w:color="auto" w:fill="auto"/>
            <w:vAlign w:val="center"/>
          </w:tcPr>
          <w:p w14:paraId="3BD22655">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从住房的物理属性与内部条件出发，评估其居住舒适度、功能性与维护水平等</w:t>
            </w:r>
          </w:p>
        </w:tc>
        <w:tc>
          <w:tcPr>
            <w:tcW w:w="1774" w:type="dxa"/>
            <w:tcBorders>
              <w:right w:val="single" w:color="auto" w:sz="4" w:space="0"/>
              <w:tl2br w:val="nil"/>
              <w:tr2bl w:val="nil"/>
            </w:tcBorders>
            <w:shd w:val="clear" w:color="auto" w:fill="auto"/>
            <w:vAlign w:val="center"/>
          </w:tcPr>
          <w:p w14:paraId="7ACC27B2">
            <w:pPr>
              <w:widowControl/>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小区与物业</w:t>
            </w:r>
          </w:p>
        </w:tc>
        <w:tc>
          <w:tcPr>
            <w:tcW w:w="4480" w:type="dxa"/>
            <w:tcBorders>
              <w:left w:val="single" w:color="auto" w:sz="4" w:space="0"/>
              <w:tl2br w:val="nil"/>
              <w:tr2bl w:val="nil"/>
            </w:tcBorders>
            <w:shd w:val="clear" w:color="auto" w:fill="auto"/>
            <w:vAlign w:val="center"/>
          </w:tcPr>
          <w:p w14:paraId="10298F2E">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小区品质：绿化、公共空间、人车分流等；</w:t>
            </w:r>
          </w:p>
          <w:p w14:paraId="13731B93">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物业服务：品牌物业或专业托管服务能显著提升租住体验与租金</w:t>
            </w:r>
          </w:p>
        </w:tc>
      </w:tr>
      <w:tr w14:paraId="6C7E6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212" w:type="dxa"/>
            <w:vMerge w:val="continue"/>
            <w:tcBorders>
              <w:tl2br w:val="nil"/>
              <w:tr2bl w:val="nil"/>
            </w:tcBorders>
            <w:shd w:val="clear" w:color="auto" w:fill="auto"/>
            <w:vAlign w:val="center"/>
          </w:tcPr>
          <w:p w14:paraId="75F54EE8">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3731CE52">
            <w:pPr>
              <w:widowControl/>
              <w:jc w:val="center"/>
              <w:textAlignment w:val="center"/>
              <w:rPr>
                <w:rFonts w:ascii="Times New Roman" w:hAnsi="Times New Roman" w:eastAsia="方正仿宋_GBK" w:cs="Times New Roman"/>
                <w:szCs w:val="21"/>
              </w:rPr>
            </w:pPr>
          </w:p>
        </w:tc>
        <w:tc>
          <w:tcPr>
            <w:tcW w:w="1774" w:type="dxa"/>
            <w:tcBorders>
              <w:right w:val="single" w:color="auto" w:sz="4" w:space="0"/>
              <w:tl2br w:val="nil"/>
              <w:tr2bl w:val="nil"/>
            </w:tcBorders>
            <w:shd w:val="clear" w:color="auto" w:fill="auto"/>
            <w:vAlign w:val="center"/>
          </w:tcPr>
          <w:p w14:paraId="07595FB4">
            <w:pPr>
              <w:widowControl/>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户型与功能</w:t>
            </w:r>
          </w:p>
        </w:tc>
        <w:tc>
          <w:tcPr>
            <w:tcW w:w="4480" w:type="dxa"/>
            <w:tcBorders>
              <w:left w:val="single" w:color="auto" w:sz="4" w:space="0"/>
              <w:tl2br w:val="nil"/>
              <w:tr2bl w:val="nil"/>
            </w:tcBorders>
            <w:shd w:val="clear" w:color="auto" w:fill="auto"/>
            <w:vAlign w:val="center"/>
          </w:tcPr>
          <w:p w14:paraId="631495AA">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功能完备性：独立卫浴、明厨明卫、功能分区明确为佳；布局合理性：动线流畅、采光通风好、私密性强、隔音效果佳</w:t>
            </w:r>
          </w:p>
        </w:tc>
      </w:tr>
      <w:tr w14:paraId="3364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1" w:hRule="atLeast"/>
          <w:tblHeader/>
          <w:jc w:val="center"/>
        </w:trPr>
        <w:tc>
          <w:tcPr>
            <w:tcW w:w="1212" w:type="dxa"/>
            <w:vMerge w:val="continue"/>
            <w:tcBorders>
              <w:tl2br w:val="nil"/>
              <w:tr2bl w:val="nil"/>
            </w:tcBorders>
            <w:shd w:val="clear" w:color="auto" w:fill="auto"/>
            <w:vAlign w:val="center"/>
          </w:tcPr>
          <w:p w14:paraId="01671858">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3F10E2D8">
            <w:pPr>
              <w:widowControl/>
              <w:jc w:val="center"/>
              <w:textAlignment w:val="center"/>
              <w:rPr>
                <w:rFonts w:ascii="Times New Roman" w:hAnsi="Times New Roman" w:eastAsia="方正仿宋_GBK" w:cs="Times New Roman"/>
                <w:szCs w:val="21"/>
              </w:rPr>
            </w:pPr>
          </w:p>
        </w:tc>
        <w:tc>
          <w:tcPr>
            <w:tcW w:w="1774" w:type="dxa"/>
            <w:tcBorders>
              <w:right w:val="single" w:color="auto" w:sz="4" w:space="0"/>
              <w:tl2br w:val="nil"/>
              <w:tr2bl w:val="nil"/>
            </w:tcBorders>
            <w:shd w:val="clear" w:color="auto" w:fill="auto"/>
            <w:vAlign w:val="center"/>
          </w:tcPr>
          <w:p w14:paraId="6AEA5631">
            <w:pPr>
              <w:widowControl/>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设施设备</w:t>
            </w:r>
          </w:p>
        </w:tc>
        <w:tc>
          <w:tcPr>
            <w:tcW w:w="4480" w:type="dxa"/>
            <w:tcBorders>
              <w:left w:val="single" w:color="auto" w:sz="4" w:space="0"/>
              <w:tl2br w:val="nil"/>
              <w:tr2bl w:val="nil"/>
            </w:tcBorders>
            <w:shd w:val="clear" w:color="auto" w:fill="auto"/>
            <w:vAlign w:val="center"/>
          </w:tcPr>
          <w:p w14:paraId="3879E5AA">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包括灶具、空调、冰箱、洗衣机、床具、餐桌椅等，首先考虑是否配套齐全可拎包入住，其次考虑新旧和质量情况。还需注意此项内容和租金评估的价值内涵是否一致，作出相应调整</w:t>
            </w:r>
          </w:p>
        </w:tc>
      </w:tr>
      <w:tr w14:paraId="0538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tblHeader/>
          <w:jc w:val="center"/>
        </w:trPr>
        <w:tc>
          <w:tcPr>
            <w:tcW w:w="1212" w:type="dxa"/>
            <w:vMerge w:val="continue"/>
            <w:tcBorders>
              <w:tl2br w:val="nil"/>
              <w:tr2bl w:val="nil"/>
            </w:tcBorders>
            <w:shd w:val="clear" w:color="auto" w:fill="auto"/>
            <w:vAlign w:val="center"/>
          </w:tcPr>
          <w:p w14:paraId="7E92CD7D">
            <w:pPr>
              <w:widowControl/>
              <w:jc w:val="center"/>
              <w:textAlignment w:val="center"/>
              <w:rPr>
                <w:rFonts w:ascii="Times New Roman" w:hAnsi="Times New Roman" w:eastAsia="方正仿宋_GBK" w:cs="Times New Roman"/>
                <w:kern w:val="0"/>
                <w:szCs w:val="21"/>
              </w:rPr>
            </w:pPr>
          </w:p>
        </w:tc>
        <w:tc>
          <w:tcPr>
            <w:tcW w:w="1212" w:type="dxa"/>
            <w:vMerge w:val="continue"/>
            <w:tcBorders>
              <w:tl2br w:val="nil"/>
              <w:tr2bl w:val="nil"/>
            </w:tcBorders>
            <w:shd w:val="clear" w:color="auto" w:fill="auto"/>
            <w:vAlign w:val="center"/>
          </w:tcPr>
          <w:p w14:paraId="273B225B">
            <w:pPr>
              <w:widowControl/>
              <w:jc w:val="center"/>
              <w:textAlignment w:val="center"/>
              <w:rPr>
                <w:rFonts w:ascii="Times New Roman" w:hAnsi="Times New Roman" w:eastAsia="方正仿宋_GBK" w:cs="Times New Roman"/>
                <w:szCs w:val="21"/>
              </w:rPr>
            </w:pPr>
          </w:p>
        </w:tc>
        <w:tc>
          <w:tcPr>
            <w:tcW w:w="1774" w:type="dxa"/>
            <w:tcBorders>
              <w:right w:val="single" w:color="auto" w:sz="4" w:space="0"/>
              <w:tl2br w:val="nil"/>
              <w:tr2bl w:val="nil"/>
            </w:tcBorders>
            <w:shd w:val="clear" w:color="auto" w:fill="auto"/>
            <w:vAlign w:val="center"/>
          </w:tcPr>
          <w:p w14:paraId="5A03EB27">
            <w:pPr>
              <w:widowControl/>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装饰装修</w:t>
            </w:r>
          </w:p>
        </w:tc>
        <w:tc>
          <w:tcPr>
            <w:tcW w:w="4480" w:type="dxa"/>
            <w:tcBorders>
              <w:left w:val="single" w:color="auto" w:sz="4" w:space="0"/>
              <w:tl2br w:val="nil"/>
              <w:tr2bl w:val="nil"/>
            </w:tcBorders>
            <w:shd w:val="clear" w:color="auto" w:fill="auto"/>
            <w:vAlign w:val="center"/>
          </w:tcPr>
          <w:p w14:paraId="34091F57">
            <w:pPr>
              <w:widowControl/>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装修风格、新旧程度、环保安全（无甲醛隐患）</w:t>
            </w:r>
          </w:p>
        </w:tc>
      </w:tr>
    </w:tbl>
    <w:p w14:paraId="166C0990">
      <w:pPr>
        <w:rPr>
          <w:rFonts w:ascii="Times New Roman" w:hAnsi="Times New Roman" w:eastAsia="方正仿宋_GBK" w:cs="Times New Roman"/>
          <w:szCs w:val="21"/>
        </w:rPr>
        <w:sectPr>
          <w:pgSz w:w="11906" w:h="16838"/>
          <w:pgMar w:top="1440" w:right="1803" w:bottom="1440" w:left="1803" w:header="851" w:footer="992" w:gutter="0"/>
          <w:cols w:space="0" w:num="1"/>
          <w:docGrid w:type="lines" w:linePitch="312" w:charSpace="0"/>
        </w:sectPr>
      </w:pPr>
      <w:r>
        <w:rPr>
          <w:rFonts w:ascii="Times New Roman" w:hAnsi="Times New Roman" w:eastAsia="方正仿宋_GBK" w:cs="Times New Roman"/>
          <w:szCs w:val="21"/>
        </w:rPr>
        <w:t>注：住房租金评估需关注</w:t>
      </w:r>
      <w:r>
        <w:rPr>
          <w:rFonts w:ascii="Times New Roman" w:hAnsi="Times New Roman" w:eastAsia="方正仿宋_GBK" w:cs="Times New Roman"/>
          <w:kern w:val="0"/>
          <w:szCs w:val="21"/>
        </w:rPr>
        <w:t>《完整居住社区建设指南》</w:t>
      </w:r>
      <w:r>
        <w:rPr>
          <w:rFonts w:ascii="Times New Roman" w:hAnsi="Times New Roman" w:eastAsia="方正仿宋_GBK" w:cs="Times New Roman"/>
          <w:szCs w:val="21"/>
        </w:rPr>
        <w:t>《江苏省住房城乡建设领域技术图谱》《江苏省改善型住宅评价细则》和国家、省、市发布的有关“好房子、好小区、好社区、好城区”系列政策。</w:t>
      </w:r>
    </w:p>
    <w:p w14:paraId="1C96A1B4">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表2  商铺类租金影响因素因子说明表</w:t>
      </w:r>
    </w:p>
    <w:tbl>
      <w:tblPr>
        <w:tblStyle w:val="9"/>
        <w:tblW w:w="89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81"/>
        <w:gridCol w:w="1255"/>
        <w:gridCol w:w="1886"/>
        <w:gridCol w:w="4615"/>
      </w:tblGrid>
      <w:tr w14:paraId="3E05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tblHeader/>
          <w:jc w:val="center"/>
        </w:trPr>
        <w:tc>
          <w:tcPr>
            <w:tcW w:w="1181" w:type="dxa"/>
            <w:tcBorders>
              <w:tl2br w:val="nil"/>
              <w:tr2bl w:val="nil"/>
            </w:tcBorders>
            <w:shd w:val="clear" w:color="auto" w:fill="auto"/>
            <w:vAlign w:val="center"/>
          </w:tcPr>
          <w:p w14:paraId="2493F747">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255" w:type="dxa"/>
            <w:tcBorders>
              <w:tl2br w:val="nil"/>
              <w:tr2bl w:val="nil"/>
            </w:tcBorders>
            <w:shd w:val="clear" w:color="auto" w:fill="auto"/>
            <w:vAlign w:val="center"/>
          </w:tcPr>
          <w:p w14:paraId="3900D434">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886" w:type="dxa"/>
            <w:tcBorders>
              <w:right w:val="single" w:color="auto" w:sz="4" w:space="0"/>
              <w:tl2br w:val="nil"/>
              <w:tr2bl w:val="nil"/>
            </w:tcBorders>
            <w:shd w:val="clear" w:color="auto" w:fill="auto"/>
            <w:vAlign w:val="center"/>
          </w:tcPr>
          <w:p w14:paraId="2A692663">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615" w:type="dxa"/>
            <w:tcBorders>
              <w:left w:val="single" w:color="auto" w:sz="4" w:space="0"/>
              <w:tl2br w:val="nil"/>
              <w:tr2bl w:val="nil"/>
            </w:tcBorders>
            <w:shd w:val="clear" w:color="auto" w:fill="auto"/>
            <w:vAlign w:val="center"/>
          </w:tcPr>
          <w:p w14:paraId="440D0BB8">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3D75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restart"/>
            <w:tcBorders>
              <w:tl2br w:val="nil"/>
              <w:tr2bl w:val="nil"/>
            </w:tcBorders>
            <w:shd w:val="clear" w:color="auto" w:fill="auto"/>
            <w:vAlign w:val="center"/>
          </w:tcPr>
          <w:p w14:paraId="3A58A27F">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区位状况（邻里与环境特征）</w:t>
            </w:r>
          </w:p>
        </w:tc>
        <w:tc>
          <w:tcPr>
            <w:tcW w:w="1255" w:type="dxa"/>
            <w:vMerge w:val="restart"/>
            <w:tcBorders>
              <w:tl2br w:val="nil"/>
              <w:tr2bl w:val="nil"/>
            </w:tcBorders>
            <w:shd w:val="clear" w:color="auto" w:fill="auto"/>
            <w:vAlign w:val="center"/>
          </w:tcPr>
          <w:p w14:paraId="78A288E6">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应重点关注商铺半径1000m内的区位条件特征。本质上是评估商铺所在区域的商业能级与市场地位</w:t>
            </w:r>
          </w:p>
        </w:tc>
        <w:tc>
          <w:tcPr>
            <w:tcW w:w="1886" w:type="dxa"/>
            <w:tcBorders>
              <w:right w:val="single" w:color="auto" w:sz="4" w:space="0"/>
              <w:tl2br w:val="nil"/>
              <w:tr2bl w:val="nil"/>
            </w:tcBorders>
            <w:shd w:val="clear" w:color="auto" w:fill="auto"/>
            <w:vAlign w:val="center"/>
          </w:tcPr>
          <w:p w14:paraId="72B41780">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商圈类型与距离</w:t>
            </w:r>
          </w:p>
        </w:tc>
        <w:tc>
          <w:tcPr>
            <w:tcW w:w="4615" w:type="dxa"/>
            <w:tcBorders>
              <w:left w:val="single" w:color="auto" w:sz="4" w:space="0"/>
              <w:tl2br w:val="nil"/>
              <w:tr2bl w:val="nil"/>
            </w:tcBorders>
            <w:shd w:val="clear" w:color="auto" w:fill="auto"/>
            <w:vAlign w:val="center"/>
          </w:tcPr>
          <w:p w14:paraId="2A525AF7">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商圈分为城市级、区域级、社区级三类，距离越近、能级越高，租金正向影响越大</w:t>
            </w:r>
          </w:p>
        </w:tc>
      </w:tr>
      <w:tr w14:paraId="1F5E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continue"/>
            <w:tcBorders>
              <w:tl2br w:val="nil"/>
              <w:tr2bl w:val="nil"/>
            </w:tcBorders>
            <w:shd w:val="clear" w:color="auto" w:fill="auto"/>
            <w:vAlign w:val="center"/>
          </w:tcPr>
          <w:p w14:paraId="5F649549">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512EEB7B">
            <w:pPr>
              <w:widowControl/>
              <w:spacing w:line="300" w:lineRule="exact"/>
              <w:jc w:val="center"/>
              <w:textAlignment w:val="center"/>
              <w:rPr>
                <w:rFonts w:ascii="Times New Roman" w:hAnsi="Times New Roman" w:eastAsia="方正仿宋_GBK" w:cs="Times New Roman"/>
                <w:kern w:val="0"/>
                <w:szCs w:val="21"/>
              </w:rPr>
            </w:pPr>
          </w:p>
        </w:tc>
        <w:tc>
          <w:tcPr>
            <w:tcW w:w="1886" w:type="dxa"/>
            <w:tcBorders>
              <w:right w:val="single" w:color="auto" w:sz="4" w:space="0"/>
              <w:tl2br w:val="nil"/>
              <w:tr2bl w:val="nil"/>
            </w:tcBorders>
            <w:shd w:val="clear" w:color="auto" w:fill="auto"/>
            <w:vAlign w:val="center"/>
          </w:tcPr>
          <w:p w14:paraId="4937364A">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商务区距离</w:t>
            </w:r>
          </w:p>
        </w:tc>
        <w:tc>
          <w:tcPr>
            <w:tcW w:w="4615" w:type="dxa"/>
            <w:tcBorders>
              <w:left w:val="single" w:color="auto" w:sz="4" w:space="0"/>
              <w:tl2br w:val="nil"/>
              <w:tr2bl w:val="nil"/>
            </w:tcBorders>
            <w:shd w:val="clear" w:color="auto" w:fill="auto"/>
            <w:vAlign w:val="center"/>
          </w:tcPr>
          <w:p w14:paraId="3462270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商务区与商圈功能互补或重叠时，对租金影响显著；若与商圈重合，可合并评估</w:t>
            </w:r>
          </w:p>
        </w:tc>
      </w:tr>
      <w:tr w14:paraId="173C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continue"/>
            <w:tcBorders>
              <w:tl2br w:val="nil"/>
              <w:tr2bl w:val="nil"/>
            </w:tcBorders>
            <w:shd w:val="clear" w:color="auto" w:fill="auto"/>
            <w:vAlign w:val="center"/>
          </w:tcPr>
          <w:p w14:paraId="4C87FDB9">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054D9A05">
            <w:pPr>
              <w:widowControl/>
              <w:spacing w:line="300" w:lineRule="exact"/>
              <w:jc w:val="center"/>
              <w:textAlignment w:val="center"/>
              <w:rPr>
                <w:rFonts w:ascii="Times New Roman" w:hAnsi="Times New Roman" w:eastAsia="方正仿宋_GBK" w:cs="Times New Roman"/>
                <w:kern w:val="0"/>
                <w:szCs w:val="21"/>
              </w:rPr>
            </w:pPr>
          </w:p>
        </w:tc>
        <w:tc>
          <w:tcPr>
            <w:tcW w:w="1886" w:type="dxa"/>
            <w:tcBorders>
              <w:right w:val="single" w:color="auto" w:sz="4" w:space="0"/>
              <w:tl2br w:val="nil"/>
              <w:tr2bl w:val="nil"/>
            </w:tcBorders>
            <w:shd w:val="clear" w:color="auto" w:fill="auto"/>
            <w:vAlign w:val="center"/>
          </w:tcPr>
          <w:p w14:paraId="7B40D484">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4615" w:type="dxa"/>
            <w:tcBorders>
              <w:left w:val="single" w:color="auto" w:sz="4" w:space="0"/>
              <w:tl2br w:val="nil"/>
              <w:tr2bl w:val="nil"/>
            </w:tcBorders>
            <w:shd w:val="clear" w:color="auto" w:fill="auto"/>
            <w:vAlign w:val="center"/>
          </w:tcPr>
          <w:p w14:paraId="7D16BA7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地铁站点对商务区商铺租金提升显著，对居住区商铺次之；公交站点影响一般较低；交通枢纽类站点对租金有正向影响</w:t>
            </w:r>
          </w:p>
        </w:tc>
      </w:tr>
      <w:tr w14:paraId="64D63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7" w:hRule="atLeast"/>
          <w:tblHeader/>
          <w:jc w:val="center"/>
        </w:trPr>
        <w:tc>
          <w:tcPr>
            <w:tcW w:w="1181" w:type="dxa"/>
            <w:vMerge w:val="continue"/>
            <w:tcBorders>
              <w:tl2br w:val="nil"/>
              <w:tr2bl w:val="nil"/>
            </w:tcBorders>
            <w:shd w:val="clear" w:color="auto" w:fill="auto"/>
            <w:vAlign w:val="center"/>
          </w:tcPr>
          <w:p w14:paraId="1D96BF63">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327D70EB">
            <w:pPr>
              <w:widowControl/>
              <w:spacing w:line="300" w:lineRule="exact"/>
              <w:jc w:val="center"/>
              <w:textAlignment w:val="center"/>
              <w:rPr>
                <w:rFonts w:ascii="Times New Roman" w:hAnsi="Times New Roman" w:eastAsia="方正仿宋_GBK" w:cs="Times New Roman"/>
                <w:kern w:val="0"/>
                <w:szCs w:val="21"/>
              </w:rPr>
            </w:pPr>
          </w:p>
        </w:tc>
        <w:tc>
          <w:tcPr>
            <w:tcW w:w="1886" w:type="dxa"/>
            <w:tcBorders>
              <w:right w:val="single" w:color="auto" w:sz="4" w:space="0"/>
              <w:tl2br w:val="nil"/>
              <w:tr2bl w:val="nil"/>
            </w:tcBorders>
            <w:shd w:val="clear" w:color="auto" w:fill="auto"/>
            <w:vAlign w:val="center"/>
          </w:tcPr>
          <w:p w14:paraId="1989C284">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学校</w:t>
            </w:r>
            <w:r>
              <w:rPr>
                <w:rFonts w:hint="eastAsia" w:ascii="Times New Roman" w:hAnsi="Times New Roman" w:eastAsia="方正仿宋_GBK" w:cs="Times New Roman"/>
                <w:kern w:val="0"/>
                <w:szCs w:val="21"/>
              </w:rPr>
              <w:t>类别</w:t>
            </w:r>
            <w:r>
              <w:rPr>
                <w:rFonts w:ascii="Times New Roman" w:hAnsi="Times New Roman" w:eastAsia="方正仿宋_GBK" w:cs="Times New Roman"/>
                <w:kern w:val="0"/>
                <w:szCs w:val="21"/>
              </w:rPr>
              <w:t>与距离</w:t>
            </w:r>
          </w:p>
        </w:tc>
        <w:tc>
          <w:tcPr>
            <w:tcW w:w="4615" w:type="dxa"/>
            <w:tcBorders>
              <w:left w:val="single" w:color="auto" w:sz="4" w:space="0"/>
              <w:tl2br w:val="nil"/>
              <w:tr2bl w:val="nil"/>
            </w:tcBorders>
            <w:shd w:val="clear" w:color="auto" w:fill="auto"/>
            <w:vAlign w:val="center"/>
          </w:tcPr>
          <w:p w14:paraId="51DFA4E2">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大学周边因学生消费集中、购买力较强，对租金提升作用高于中小学</w:t>
            </w:r>
            <w:r>
              <w:rPr>
                <w:rFonts w:hint="eastAsia" w:ascii="Times New Roman" w:hAnsi="Times New Roman" w:eastAsia="方正仿宋_GBK" w:cs="Times New Roman"/>
                <w:kern w:val="0"/>
                <w:szCs w:val="21"/>
              </w:rPr>
              <w:t>；关注学校内外商铺的区别</w:t>
            </w:r>
          </w:p>
        </w:tc>
      </w:tr>
      <w:tr w14:paraId="736D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0" w:hRule="atLeast"/>
          <w:tblHeader/>
          <w:jc w:val="center"/>
        </w:trPr>
        <w:tc>
          <w:tcPr>
            <w:tcW w:w="1181" w:type="dxa"/>
            <w:vMerge w:val="continue"/>
            <w:tcBorders>
              <w:tl2br w:val="nil"/>
              <w:tr2bl w:val="nil"/>
            </w:tcBorders>
            <w:shd w:val="clear" w:color="auto" w:fill="auto"/>
            <w:vAlign w:val="center"/>
          </w:tcPr>
          <w:p w14:paraId="364D01FF">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245E890A">
            <w:pPr>
              <w:widowControl/>
              <w:spacing w:line="300" w:lineRule="exact"/>
              <w:jc w:val="center"/>
              <w:textAlignment w:val="center"/>
              <w:rPr>
                <w:rFonts w:ascii="Times New Roman" w:hAnsi="Times New Roman" w:eastAsia="方正仿宋_GBK" w:cs="Times New Roman"/>
                <w:kern w:val="0"/>
                <w:szCs w:val="21"/>
              </w:rPr>
            </w:pPr>
          </w:p>
        </w:tc>
        <w:tc>
          <w:tcPr>
            <w:tcW w:w="1886" w:type="dxa"/>
            <w:tcBorders>
              <w:right w:val="single" w:color="auto" w:sz="4" w:space="0"/>
              <w:tl2br w:val="nil"/>
              <w:tr2bl w:val="nil"/>
            </w:tcBorders>
            <w:shd w:val="clear" w:color="auto" w:fill="auto"/>
            <w:vAlign w:val="center"/>
          </w:tcPr>
          <w:p w14:paraId="1748BFF1">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医院和旅游景点</w:t>
            </w:r>
          </w:p>
        </w:tc>
        <w:tc>
          <w:tcPr>
            <w:tcW w:w="4615" w:type="dxa"/>
            <w:tcBorders>
              <w:left w:val="single" w:color="auto" w:sz="4" w:space="0"/>
              <w:tl2br w:val="nil"/>
              <w:tr2bl w:val="nil"/>
            </w:tcBorders>
            <w:shd w:val="clear" w:color="auto" w:fill="auto"/>
            <w:vAlign w:val="center"/>
          </w:tcPr>
          <w:p w14:paraId="2DE4BC99">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核心医院或重要旅游景点周边，因人流聚集和消费需求</w:t>
            </w:r>
            <w:r>
              <w:rPr>
                <w:rFonts w:hint="eastAsia" w:ascii="Times New Roman" w:hAnsi="Times New Roman" w:eastAsia="方正仿宋_GBK" w:cs="Times New Roman"/>
                <w:kern w:val="0"/>
                <w:szCs w:val="21"/>
              </w:rPr>
              <w:t>特性</w:t>
            </w:r>
            <w:r>
              <w:rPr>
                <w:rFonts w:ascii="Times New Roman" w:hAnsi="Times New Roman" w:eastAsia="方正仿宋_GBK" w:cs="Times New Roman"/>
                <w:kern w:val="0"/>
                <w:szCs w:val="21"/>
              </w:rPr>
              <w:t>，对租金有提升作用</w:t>
            </w:r>
            <w:r>
              <w:rPr>
                <w:rFonts w:hint="eastAsia" w:ascii="Times New Roman" w:hAnsi="Times New Roman" w:eastAsia="方正仿宋_GBK" w:cs="Times New Roman"/>
                <w:kern w:val="0"/>
                <w:szCs w:val="21"/>
              </w:rPr>
              <w:t>；关注医院或景点内外商铺的区别</w:t>
            </w:r>
          </w:p>
        </w:tc>
      </w:tr>
      <w:tr w14:paraId="0FA4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continue"/>
            <w:tcBorders>
              <w:tl2br w:val="nil"/>
              <w:tr2bl w:val="nil"/>
            </w:tcBorders>
            <w:shd w:val="clear" w:color="auto" w:fill="auto"/>
            <w:vAlign w:val="center"/>
          </w:tcPr>
          <w:p w14:paraId="0D2B9384">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017E3B12">
            <w:pPr>
              <w:widowControl/>
              <w:spacing w:line="300" w:lineRule="exact"/>
              <w:jc w:val="center"/>
              <w:textAlignment w:val="center"/>
              <w:rPr>
                <w:rFonts w:ascii="Times New Roman" w:hAnsi="Times New Roman" w:eastAsia="方正仿宋_GBK" w:cs="Times New Roman"/>
                <w:kern w:val="0"/>
                <w:szCs w:val="21"/>
              </w:rPr>
            </w:pPr>
          </w:p>
        </w:tc>
        <w:tc>
          <w:tcPr>
            <w:tcW w:w="1886" w:type="dxa"/>
            <w:tcBorders>
              <w:right w:val="single" w:color="auto" w:sz="4" w:space="0"/>
              <w:tl2br w:val="nil"/>
              <w:tr2bl w:val="nil"/>
            </w:tcBorders>
            <w:shd w:val="clear" w:color="auto" w:fill="auto"/>
            <w:vAlign w:val="center"/>
          </w:tcPr>
          <w:p w14:paraId="60C8056B">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人流量</w:t>
            </w:r>
          </w:p>
        </w:tc>
        <w:tc>
          <w:tcPr>
            <w:tcW w:w="4615" w:type="dxa"/>
            <w:tcBorders>
              <w:left w:val="single" w:color="auto" w:sz="4" w:space="0"/>
              <w:tl2br w:val="nil"/>
              <w:tr2bl w:val="nil"/>
            </w:tcBorders>
            <w:shd w:val="clear" w:color="auto" w:fill="auto"/>
            <w:vAlign w:val="center"/>
          </w:tcPr>
          <w:p w14:paraId="20FE6AAC">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正常营业期间商铺门前通行的人流量，与租金呈显著正相关；同时关注人流质量（消费能力、消费目的、停留时间）的影响</w:t>
            </w:r>
          </w:p>
        </w:tc>
      </w:tr>
      <w:tr w14:paraId="63F2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restart"/>
            <w:tcBorders>
              <w:tl2br w:val="nil"/>
              <w:tr2bl w:val="nil"/>
            </w:tcBorders>
            <w:shd w:val="clear" w:color="auto" w:fill="auto"/>
            <w:vAlign w:val="center"/>
          </w:tcPr>
          <w:p w14:paraId="46B2A730">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实物状况（建筑与空间特征）</w:t>
            </w:r>
          </w:p>
        </w:tc>
        <w:tc>
          <w:tcPr>
            <w:tcW w:w="1255" w:type="dxa"/>
            <w:vMerge w:val="restart"/>
            <w:tcBorders>
              <w:tl2br w:val="nil"/>
              <w:tr2bl w:val="nil"/>
            </w:tcBorders>
            <w:shd w:val="clear" w:color="auto" w:fill="auto"/>
            <w:vAlign w:val="center"/>
          </w:tcPr>
          <w:p w14:paraId="57B391F1">
            <w:pPr>
              <w:widowControl/>
              <w:spacing w:line="300" w:lineRule="exact"/>
              <w:jc w:val="left"/>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核心是判断商铺的空间适用性与经营效率。评估需遵循“业态适配”原则，即没有绝对最好的实物条件，只有最适合目标业态的条件</w:t>
            </w:r>
          </w:p>
        </w:tc>
        <w:tc>
          <w:tcPr>
            <w:tcW w:w="1886" w:type="dxa"/>
            <w:tcBorders>
              <w:right w:val="single" w:color="auto" w:sz="4" w:space="0"/>
              <w:tl2br w:val="nil"/>
              <w:tr2bl w:val="nil"/>
            </w:tcBorders>
            <w:shd w:val="clear" w:color="auto" w:fill="auto"/>
            <w:vAlign w:val="center"/>
          </w:tcPr>
          <w:p w14:paraId="33F3FF7B">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昭示性</w:t>
            </w:r>
          </w:p>
        </w:tc>
        <w:tc>
          <w:tcPr>
            <w:tcW w:w="4615" w:type="dxa"/>
            <w:tcBorders>
              <w:left w:val="single" w:color="auto" w:sz="4" w:space="0"/>
              <w:tl2br w:val="nil"/>
              <w:tr2bl w:val="nil"/>
            </w:tcBorders>
            <w:shd w:val="clear" w:color="auto" w:fill="auto"/>
            <w:vAlign w:val="center"/>
          </w:tcPr>
          <w:p w14:paraId="038BC62E">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包括临街面宽度、是否位于动线入口或交通节点等，影响商铺被注意和识别的程度</w:t>
            </w:r>
          </w:p>
        </w:tc>
      </w:tr>
      <w:tr w14:paraId="06E7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4" w:hRule="atLeast"/>
          <w:tblHeader/>
          <w:jc w:val="center"/>
        </w:trPr>
        <w:tc>
          <w:tcPr>
            <w:tcW w:w="1181" w:type="dxa"/>
            <w:vMerge w:val="continue"/>
            <w:tcBorders>
              <w:tl2br w:val="nil"/>
              <w:tr2bl w:val="nil"/>
            </w:tcBorders>
            <w:shd w:val="clear" w:color="auto" w:fill="auto"/>
            <w:vAlign w:val="center"/>
          </w:tcPr>
          <w:p w14:paraId="14D9527A">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21CD1F75">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1266A3A5">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可达性</w:t>
            </w:r>
          </w:p>
        </w:tc>
        <w:tc>
          <w:tcPr>
            <w:tcW w:w="4615" w:type="dxa"/>
            <w:tcBorders>
              <w:left w:val="single" w:color="auto" w:sz="4" w:space="0"/>
              <w:tl2br w:val="nil"/>
              <w:tr2bl w:val="nil"/>
            </w:tcBorders>
            <w:shd w:val="clear" w:color="auto" w:fill="auto"/>
            <w:vAlign w:val="center"/>
          </w:tcPr>
          <w:p w14:paraId="40AA9E0E">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指顾客到达商铺的便利性，受围栏、台阶、单行道等阻碍因素影响，便利性越低，租金负面影响越大</w:t>
            </w:r>
          </w:p>
        </w:tc>
      </w:tr>
      <w:tr w14:paraId="6A04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4" w:hRule="atLeast"/>
          <w:tblHeader/>
          <w:jc w:val="center"/>
        </w:trPr>
        <w:tc>
          <w:tcPr>
            <w:tcW w:w="1181" w:type="dxa"/>
            <w:vMerge w:val="continue"/>
            <w:tcBorders>
              <w:tl2br w:val="nil"/>
              <w:tr2bl w:val="nil"/>
            </w:tcBorders>
            <w:shd w:val="clear" w:color="auto" w:fill="auto"/>
            <w:vAlign w:val="center"/>
          </w:tcPr>
          <w:p w14:paraId="08B5EA04">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5BCF9306">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154E4983">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面积</w:t>
            </w:r>
          </w:p>
        </w:tc>
        <w:tc>
          <w:tcPr>
            <w:tcW w:w="4615" w:type="dxa"/>
            <w:tcBorders>
              <w:left w:val="single" w:color="auto" w:sz="4" w:space="0"/>
              <w:tl2br w:val="nil"/>
              <w:tr2bl w:val="nil"/>
            </w:tcBorders>
            <w:shd w:val="clear" w:color="auto" w:fill="auto"/>
            <w:vAlign w:val="center"/>
          </w:tcPr>
          <w:p w14:paraId="5EE543EA">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面积较大可带来规模效应，但也增强租户议价能力，通常与租金呈负相关；但因租户业态与经营需求可能存在例外</w:t>
            </w:r>
          </w:p>
        </w:tc>
      </w:tr>
      <w:tr w14:paraId="2C27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3" w:hRule="atLeast"/>
          <w:tblHeader/>
          <w:jc w:val="center"/>
        </w:trPr>
        <w:tc>
          <w:tcPr>
            <w:tcW w:w="1181" w:type="dxa"/>
            <w:vMerge w:val="continue"/>
            <w:tcBorders>
              <w:tl2br w:val="nil"/>
              <w:tr2bl w:val="nil"/>
            </w:tcBorders>
            <w:shd w:val="clear" w:color="auto" w:fill="auto"/>
            <w:vAlign w:val="center"/>
          </w:tcPr>
          <w:p w14:paraId="7D0BDEF8">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7D515808">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08BD27A6">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层高</w:t>
            </w:r>
          </w:p>
        </w:tc>
        <w:tc>
          <w:tcPr>
            <w:tcW w:w="4615" w:type="dxa"/>
            <w:tcBorders>
              <w:left w:val="single" w:color="auto" w:sz="4" w:space="0"/>
              <w:tl2br w:val="nil"/>
              <w:tr2bl w:val="nil"/>
            </w:tcBorders>
            <w:shd w:val="clear" w:color="auto" w:fill="auto"/>
            <w:vAlign w:val="center"/>
          </w:tcPr>
          <w:p w14:paraId="1AE43C2E">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层高不宜低于2.8米，4–4.5米为较优区间，过高或过低均可能影响使用效率与舒适度</w:t>
            </w:r>
          </w:p>
        </w:tc>
      </w:tr>
      <w:tr w14:paraId="500C1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3" w:hRule="atLeast"/>
          <w:tblHeader/>
          <w:jc w:val="center"/>
        </w:trPr>
        <w:tc>
          <w:tcPr>
            <w:tcW w:w="1181" w:type="dxa"/>
            <w:vMerge w:val="continue"/>
            <w:tcBorders>
              <w:tl2br w:val="nil"/>
              <w:tr2bl w:val="nil"/>
            </w:tcBorders>
            <w:shd w:val="clear" w:color="auto" w:fill="auto"/>
            <w:vAlign w:val="center"/>
          </w:tcPr>
          <w:p w14:paraId="2B3471A6">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623BB3AF">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321D5E46">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空间格局</w:t>
            </w:r>
          </w:p>
        </w:tc>
        <w:tc>
          <w:tcPr>
            <w:tcW w:w="4615" w:type="dxa"/>
            <w:tcBorders>
              <w:left w:val="single" w:color="auto" w:sz="4" w:space="0"/>
              <w:tl2br w:val="nil"/>
              <w:tr2bl w:val="nil"/>
            </w:tcBorders>
            <w:shd w:val="clear" w:color="auto" w:fill="auto"/>
            <w:vAlign w:val="center"/>
          </w:tcPr>
          <w:p w14:paraId="24BA8205">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主要考虑宽深比、形状规则性、空间通透性等因素，影响商铺使用效率与展示效果；一般认为宽深比以1:1.5至1:2为佳，过深（如1:4以上）则铺位租金会显著降低，过宽则适用的业态受限</w:t>
            </w:r>
          </w:p>
        </w:tc>
      </w:tr>
      <w:tr w14:paraId="3599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8" w:hRule="atLeast"/>
          <w:tblHeader/>
          <w:jc w:val="center"/>
        </w:trPr>
        <w:tc>
          <w:tcPr>
            <w:tcW w:w="1181" w:type="dxa"/>
            <w:vMerge w:val="continue"/>
            <w:tcBorders>
              <w:tl2br w:val="nil"/>
              <w:tr2bl w:val="nil"/>
            </w:tcBorders>
            <w:shd w:val="clear" w:color="auto" w:fill="auto"/>
            <w:vAlign w:val="center"/>
          </w:tcPr>
          <w:p w14:paraId="56E95207">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439FDABB">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511EA63D">
            <w:pPr>
              <w:widowControl/>
              <w:spacing w:line="300" w:lineRule="exact"/>
              <w:jc w:val="center"/>
              <w:textAlignment w:val="center"/>
              <w:rPr>
                <w:rFonts w:ascii="Times New Roman" w:hAnsi="Times New Roman" w:eastAsia="方正仿宋_GBK" w:cs="Times New Roman"/>
                <w:szCs w:val="21"/>
              </w:rPr>
            </w:pPr>
            <w:r>
              <w:rPr>
                <w:rFonts w:hint="eastAsia" w:ascii="Times New Roman" w:hAnsi="Times New Roman" w:eastAsia="方正仿宋_GBK" w:cs="Times New Roman"/>
                <w:szCs w:val="21"/>
              </w:rPr>
              <w:t>用途限制</w:t>
            </w:r>
          </w:p>
        </w:tc>
        <w:tc>
          <w:tcPr>
            <w:tcW w:w="4615" w:type="dxa"/>
            <w:tcBorders>
              <w:left w:val="single" w:color="auto" w:sz="4" w:space="0"/>
              <w:tl2br w:val="nil"/>
              <w:tr2bl w:val="nil"/>
            </w:tcBorders>
            <w:shd w:val="clear" w:color="auto" w:fill="auto"/>
            <w:vAlign w:val="center"/>
          </w:tcPr>
          <w:p w14:paraId="30674E34">
            <w:pPr>
              <w:widowControl/>
              <w:spacing w:line="30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例如当居住社区商铺禁止用于餐饮时，应评估对租金的负面影响程度</w:t>
            </w:r>
          </w:p>
        </w:tc>
      </w:tr>
      <w:tr w14:paraId="2B14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4" w:hRule="atLeast"/>
          <w:tblHeader/>
          <w:jc w:val="center"/>
        </w:trPr>
        <w:tc>
          <w:tcPr>
            <w:tcW w:w="1181" w:type="dxa"/>
            <w:vMerge w:val="continue"/>
            <w:tcBorders>
              <w:tl2br w:val="nil"/>
              <w:tr2bl w:val="nil"/>
            </w:tcBorders>
            <w:shd w:val="clear" w:color="auto" w:fill="auto"/>
            <w:vAlign w:val="center"/>
          </w:tcPr>
          <w:p w14:paraId="322403B1">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51070D63">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62FB43CA">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设施设备</w:t>
            </w:r>
          </w:p>
        </w:tc>
        <w:tc>
          <w:tcPr>
            <w:tcW w:w="4615" w:type="dxa"/>
            <w:tcBorders>
              <w:left w:val="single" w:color="auto" w:sz="4" w:space="0"/>
              <w:tl2br w:val="nil"/>
              <w:tr2bl w:val="nil"/>
            </w:tcBorders>
            <w:shd w:val="clear" w:color="auto" w:fill="auto"/>
            <w:vAlign w:val="center"/>
          </w:tcPr>
          <w:p w14:paraId="6BC4CDDF">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消防、排烟、排油、给排水、电负荷等硬件条件。特别是对于餐饮类租户，这些设施是刚性需求，其有无与好坏对租金影响大</w:t>
            </w:r>
          </w:p>
        </w:tc>
      </w:tr>
      <w:tr w14:paraId="2829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8" w:hRule="atLeast"/>
          <w:tblHeader/>
          <w:jc w:val="center"/>
        </w:trPr>
        <w:tc>
          <w:tcPr>
            <w:tcW w:w="1181" w:type="dxa"/>
            <w:vMerge w:val="continue"/>
            <w:tcBorders>
              <w:tl2br w:val="nil"/>
              <w:tr2bl w:val="nil"/>
            </w:tcBorders>
            <w:shd w:val="clear" w:color="auto" w:fill="auto"/>
            <w:vAlign w:val="center"/>
          </w:tcPr>
          <w:p w14:paraId="19718809">
            <w:pPr>
              <w:widowControl/>
              <w:spacing w:line="300" w:lineRule="exact"/>
              <w:jc w:val="center"/>
              <w:textAlignment w:val="center"/>
              <w:rPr>
                <w:rFonts w:ascii="Times New Roman" w:hAnsi="Times New Roman" w:eastAsia="方正仿宋_GBK" w:cs="Times New Roman"/>
                <w:kern w:val="0"/>
                <w:szCs w:val="21"/>
              </w:rPr>
            </w:pPr>
          </w:p>
        </w:tc>
        <w:tc>
          <w:tcPr>
            <w:tcW w:w="1255" w:type="dxa"/>
            <w:vMerge w:val="continue"/>
            <w:tcBorders>
              <w:tl2br w:val="nil"/>
              <w:tr2bl w:val="nil"/>
            </w:tcBorders>
            <w:shd w:val="clear" w:color="auto" w:fill="auto"/>
            <w:vAlign w:val="center"/>
          </w:tcPr>
          <w:p w14:paraId="7816E483">
            <w:pPr>
              <w:widowControl/>
              <w:spacing w:line="300" w:lineRule="exact"/>
              <w:jc w:val="left"/>
              <w:textAlignment w:val="center"/>
              <w:rPr>
                <w:rFonts w:ascii="Times New Roman" w:hAnsi="Times New Roman" w:eastAsia="方正仿宋_GBK" w:cs="Times New Roman"/>
                <w:szCs w:val="21"/>
              </w:rPr>
            </w:pPr>
          </w:p>
        </w:tc>
        <w:tc>
          <w:tcPr>
            <w:tcW w:w="1886" w:type="dxa"/>
            <w:tcBorders>
              <w:right w:val="single" w:color="auto" w:sz="4" w:space="0"/>
              <w:tl2br w:val="nil"/>
              <w:tr2bl w:val="nil"/>
            </w:tcBorders>
            <w:shd w:val="clear" w:color="auto" w:fill="auto"/>
            <w:vAlign w:val="center"/>
          </w:tcPr>
          <w:p w14:paraId="4B65CCF4">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停车配套</w:t>
            </w:r>
          </w:p>
        </w:tc>
        <w:tc>
          <w:tcPr>
            <w:tcW w:w="4615" w:type="dxa"/>
            <w:tcBorders>
              <w:left w:val="single" w:color="auto" w:sz="4" w:space="0"/>
              <w:tl2br w:val="nil"/>
              <w:tr2bl w:val="nil"/>
            </w:tcBorders>
            <w:shd w:val="clear" w:color="auto" w:fill="auto"/>
            <w:vAlign w:val="center"/>
          </w:tcPr>
          <w:p w14:paraId="48447374">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对于非纯粹依赖步行客流的商铺，停车位的数量与便利性是一项重要影响因素</w:t>
            </w:r>
          </w:p>
        </w:tc>
      </w:tr>
    </w:tbl>
    <w:p w14:paraId="798670DD">
      <w:pPr>
        <w:widowControl/>
        <w:jc w:val="left"/>
        <w:textAlignment w:val="center"/>
        <w:rPr>
          <w:rFonts w:ascii="Times New Roman" w:hAnsi="Times New Roman" w:eastAsia="方正仿宋_GBK" w:cs="Times New Roman"/>
          <w:szCs w:val="21"/>
        </w:rPr>
      </w:pPr>
      <w:r>
        <w:rPr>
          <w:rFonts w:ascii="Times New Roman" w:hAnsi="Times New Roman" w:eastAsia="方正仿宋_GBK" w:cs="Times New Roman"/>
          <w:szCs w:val="21"/>
        </w:rPr>
        <w:t>注：商业用途租金评估，需关注《零售业态分类》（GB/T 18106-2021）、《购物中心等级划分规范》（SB/T11087-2014）、《购物中心等级划分与评定》（2023年征求意见稿）的有关规定。</w:t>
      </w:r>
    </w:p>
    <w:p w14:paraId="4441506F">
      <w:pPr>
        <w:widowControl/>
        <w:jc w:val="left"/>
        <w:textAlignment w:val="center"/>
        <w:rPr>
          <w:rFonts w:ascii="Times New Roman" w:hAnsi="Times New Roman" w:eastAsia="方正仿宋_GBK" w:cs="Times New Roman"/>
          <w:szCs w:val="21"/>
        </w:rPr>
        <w:sectPr>
          <w:pgSz w:w="11906" w:h="16838"/>
          <w:pgMar w:top="1440" w:right="1800" w:bottom="1440" w:left="1800" w:header="851" w:footer="992" w:gutter="0"/>
          <w:cols w:space="425" w:num="1"/>
          <w:docGrid w:type="lines" w:linePitch="312" w:charSpace="0"/>
        </w:sectPr>
      </w:pPr>
    </w:p>
    <w:p w14:paraId="1D3A05B7">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表3  商场类租金影响因素因子说明表</w:t>
      </w:r>
    </w:p>
    <w:tbl>
      <w:tblPr>
        <w:tblStyle w:val="9"/>
        <w:tblW w:w="8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91"/>
        <w:gridCol w:w="1157"/>
        <w:gridCol w:w="1435"/>
        <w:gridCol w:w="4475"/>
      </w:tblGrid>
      <w:tr w14:paraId="3760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tblHeader/>
          <w:jc w:val="center"/>
        </w:trPr>
        <w:tc>
          <w:tcPr>
            <w:tcW w:w="1191" w:type="dxa"/>
            <w:tcBorders>
              <w:tl2br w:val="nil"/>
              <w:tr2bl w:val="nil"/>
            </w:tcBorders>
            <w:shd w:val="clear" w:color="auto" w:fill="auto"/>
            <w:vAlign w:val="center"/>
          </w:tcPr>
          <w:p w14:paraId="0A125B80">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157" w:type="dxa"/>
            <w:tcBorders>
              <w:tl2br w:val="nil"/>
              <w:tr2bl w:val="nil"/>
            </w:tcBorders>
            <w:shd w:val="clear" w:color="auto" w:fill="auto"/>
            <w:vAlign w:val="center"/>
          </w:tcPr>
          <w:p w14:paraId="19E7190A">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435" w:type="dxa"/>
            <w:tcBorders>
              <w:right w:val="single" w:color="auto" w:sz="4" w:space="0"/>
              <w:tl2br w:val="nil"/>
              <w:tr2bl w:val="nil"/>
            </w:tcBorders>
            <w:shd w:val="clear" w:color="auto" w:fill="auto"/>
            <w:vAlign w:val="center"/>
          </w:tcPr>
          <w:p w14:paraId="12E10F33">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475" w:type="dxa"/>
            <w:tcBorders>
              <w:left w:val="single" w:color="auto" w:sz="4" w:space="0"/>
              <w:tl2br w:val="nil"/>
              <w:tr2bl w:val="nil"/>
            </w:tcBorders>
            <w:shd w:val="clear" w:color="auto" w:fill="auto"/>
            <w:vAlign w:val="center"/>
          </w:tcPr>
          <w:p w14:paraId="2BAC8E03">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732E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2" w:hRule="atLeast"/>
          <w:tblHeader/>
          <w:jc w:val="center"/>
        </w:trPr>
        <w:tc>
          <w:tcPr>
            <w:tcW w:w="1191" w:type="dxa"/>
            <w:vMerge w:val="restart"/>
            <w:tcBorders>
              <w:tl2br w:val="nil"/>
              <w:tr2bl w:val="nil"/>
            </w:tcBorders>
            <w:shd w:val="clear" w:color="auto" w:fill="auto"/>
            <w:vAlign w:val="center"/>
          </w:tcPr>
          <w:p w14:paraId="47E96B57">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区位状况（邻里与环境特征）</w:t>
            </w:r>
          </w:p>
        </w:tc>
        <w:tc>
          <w:tcPr>
            <w:tcW w:w="1157" w:type="dxa"/>
            <w:vMerge w:val="restart"/>
            <w:tcBorders>
              <w:tl2br w:val="nil"/>
              <w:tr2bl w:val="nil"/>
            </w:tcBorders>
            <w:shd w:val="clear" w:color="auto" w:fill="auto"/>
            <w:vAlign w:val="center"/>
          </w:tcPr>
          <w:p w14:paraId="72FB38B9">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反映商场所在宏观区位的条件，决定了其潜在客源市场的规模与质量，通常在一定半径内评估其对租金的影响</w:t>
            </w:r>
          </w:p>
        </w:tc>
        <w:tc>
          <w:tcPr>
            <w:tcW w:w="1435" w:type="dxa"/>
            <w:tcBorders>
              <w:right w:val="single" w:color="auto" w:sz="4" w:space="0"/>
              <w:tl2br w:val="nil"/>
              <w:tr2bl w:val="nil"/>
            </w:tcBorders>
            <w:shd w:val="clear" w:color="auto" w:fill="auto"/>
            <w:vAlign w:val="center"/>
          </w:tcPr>
          <w:p w14:paraId="2805B6DC">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商圈类型与属性</w:t>
            </w:r>
          </w:p>
        </w:tc>
        <w:tc>
          <w:tcPr>
            <w:tcW w:w="4475" w:type="dxa"/>
            <w:tcBorders>
              <w:left w:val="single" w:color="auto" w:sz="4" w:space="0"/>
              <w:tl2br w:val="nil"/>
              <w:tr2bl w:val="nil"/>
            </w:tcBorders>
            <w:shd w:val="clear" w:color="auto" w:fill="auto"/>
            <w:vAlign w:val="center"/>
          </w:tcPr>
          <w:p w14:paraId="0DF79CC9">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所处商圈的等级（城市级、区域级、社区级）、成熟度、商业氛围及主题特色（如潮流、亲子、高端）</w:t>
            </w:r>
          </w:p>
        </w:tc>
      </w:tr>
      <w:tr w14:paraId="5BE43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blHeader/>
          <w:jc w:val="center"/>
        </w:trPr>
        <w:tc>
          <w:tcPr>
            <w:tcW w:w="1191" w:type="dxa"/>
            <w:vMerge w:val="continue"/>
            <w:tcBorders>
              <w:tl2br w:val="nil"/>
              <w:tr2bl w:val="nil"/>
            </w:tcBorders>
            <w:shd w:val="clear" w:color="auto" w:fill="auto"/>
            <w:vAlign w:val="center"/>
          </w:tcPr>
          <w:p w14:paraId="3E656791">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2CAF7DF4">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6A6BEBA9">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客源基础</w:t>
            </w:r>
          </w:p>
        </w:tc>
        <w:tc>
          <w:tcPr>
            <w:tcW w:w="4475" w:type="dxa"/>
            <w:tcBorders>
              <w:left w:val="single" w:color="auto" w:sz="4" w:space="0"/>
              <w:tl2br w:val="nil"/>
              <w:tr2bl w:val="nil"/>
            </w:tcBorders>
            <w:shd w:val="clear" w:color="auto" w:fill="auto"/>
            <w:vAlign w:val="center"/>
          </w:tcPr>
          <w:p w14:paraId="7CB0F32F">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周边常住人口密度、住宅档次、办公人群数量与质量、旅游人流规模等，构成消费的基本盘</w:t>
            </w:r>
          </w:p>
        </w:tc>
      </w:tr>
      <w:tr w14:paraId="7FA9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2" w:hRule="atLeast"/>
          <w:tblHeader/>
          <w:jc w:val="center"/>
        </w:trPr>
        <w:tc>
          <w:tcPr>
            <w:tcW w:w="1191" w:type="dxa"/>
            <w:vMerge w:val="continue"/>
            <w:tcBorders>
              <w:tl2br w:val="nil"/>
              <w:tr2bl w:val="nil"/>
            </w:tcBorders>
            <w:shd w:val="clear" w:color="auto" w:fill="auto"/>
            <w:vAlign w:val="center"/>
          </w:tcPr>
          <w:p w14:paraId="47BA033D">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0C349436">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440C7BEB">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4475" w:type="dxa"/>
            <w:tcBorders>
              <w:left w:val="single" w:color="auto" w:sz="4" w:space="0"/>
              <w:tl2br w:val="nil"/>
              <w:tr2bl w:val="nil"/>
            </w:tcBorders>
            <w:shd w:val="clear" w:color="auto" w:fill="auto"/>
            <w:vAlign w:val="center"/>
          </w:tcPr>
          <w:p w14:paraId="4C41DB81">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公共交通：与地铁站、公交枢纽的距离与接驳便利性；机动车交通：邻近主干道情况，通往高速路口的便捷度</w:t>
            </w:r>
          </w:p>
        </w:tc>
      </w:tr>
      <w:tr w14:paraId="0E9F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blHeader/>
          <w:jc w:val="center"/>
        </w:trPr>
        <w:tc>
          <w:tcPr>
            <w:tcW w:w="1191" w:type="dxa"/>
            <w:vMerge w:val="continue"/>
            <w:tcBorders>
              <w:tl2br w:val="nil"/>
              <w:tr2bl w:val="nil"/>
            </w:tcBorders>
            <w:shd w:val="clear" w:color="auto" w:fill="auto"/>
            <w:vAlign w:val="center"/>
          </w:tcPr>
          <w:p w14:paraId="3595CC9A">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62A5132B">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2AA13C8B">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周边环境与配套</w:t>
            </w:r>
          </w:p>
        </w:tc>
        <w:tc>
          <w:tcPr>
            <w:tcW w:w="4475" w:type="dxa"/>
            <w:tcBorders>
              <w:left w:val="single" w:color="auto" w:sz="4" w:space="0"/>
              <w:tl2br w:val="nil"/>
              <w:tr2bl w:val="nil"/>
            </w:tcBorders>
            <w:shd w:val="clear" w:color="auto" w:fill="auto"/>
            <w:vAlign w:val="center"/>
          </w:tcPr>
          <w:p w14:paraId="38245789">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毗邻的机构（如学校、医院、文体设施）能否带来协同消费；区域的治安、景观等环境品质</w:t>
            </w:r>
          </w:p>
        </w:tc>
      </w:tr>
      <w:tr w14:paraId="67714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blHeader/>
          <w:jc w:val="center"/>
        </w:trPr>
        <w:tc>
          <w:tcPr>
            <w:tcW w:w="1191" w:type="dxa"/>
            <w:vMerge w:val="continue"/>
            <w:tcBorders>
              <w:tl2br w:val="nil"/>
              <w:tr2bl w:val="nil"/>
            </w:tcBorders>
            <w:shd w:val="clear" w:color="auto" w:fill="auto"/>
            <w:vAlign w:val="center"/>
          </w:tcPr>
          <w:p w14:paraId="1B072ADA">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13A628C7">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464D2BB8">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市场竞争格局</w:t>
            </w:r>
          </w:p>
        </w:tc>
        <w:tc>
          <w:tcPr>
            <w:tcW w:w="4475" w:type="dxa"/>
            <w:tcBorders>
              <w:left w:val="single" w:color="auto" w:sz="4" w:space="0"/>
              <w:tl2br w:val="nil"/>
              <w:tr2bl w:val="nil"/>
            </w:tcBorders>
            <w:shd w:val="clear" w:color="auto" w:fill="auto"/>
            <w:vAlign w:val="center"/>
          </w:tcPr>
          <w:p w14:paraId="6DB84134">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周边可比竞争项目的数量、体量、定位、租金水平，以及对本项目造成的分流压力</w:t>
            </w:r>
          </w:p>
        </w:tc>
      </w:tr>
      <w:tr w14:paraId="4092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2" w:hRule="atLeast"/>
          <w:tblHeader/>
          <w:jc w:val="center"/>
        </w:trPr>
        <w:tc>
          <w:tcPr>
            <w:tcW w:w="1191" w:type="dxa"/>
            <w:vMerge w:val="restart"/>
            <w:tcBorders>
              <w:tl2br w:val="nil"/>
              <w:tr2bl w:val="nil"/>
            </w:tcBorders>
            <w:shd w:val="clear" w:color="auto" w:fill="auto"/>
            <w:vAlign w:val="center"/>
          </w:tcPr>
          <w:p w14:paraId="414F6A68">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实物状况（建筑、硬件与运营特征）</w:t>
            </w:r>
          </w:p>
        </w:tc>
        <w:tc>
          <w:tcPr>
            <w:tcW w:w="1157" w:type="dxa"/>
            <w:vMerge w:val="restart"/>
            <w:tcBorders>
              <w:tl2br w:val="nil"/>
              <w:tr2bl w:val="nil"/>
            </w:tcBorders>
            <w:shd w:val="clear" w:color="auto" w:fill="auto"/>
            <w:vAlign w:val="center"/>
          </w:tcPr>
          <w:p w14:paraId="54EADD5D">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反映商场建筑、硬件及空间布局等实物特征，是承载商业活动的基础，在营业的商场需关注运营类因素</w:t>
            </w:r>
          </w:p>
        </w:tc>
        <w:tc>
          <w:tcPr>
            <w:tcW w:w="1435" w:type="dxa"/>
            <w:tcBorders>
              <w:right w:val="single" w:color="auto" w:sz="4" w:space="0"/>
              <w:tl2br w:val="nil"/>
              <w:tr2bl w:val="nil"/>
            </w:tcBorders>
            <w:shd w:val="clear" w:color="auto" w:fill="auto"/>
            <w:vAlign w:val="center"/>
          </w:tcPr>
          <w:p w14:paraId="4DC22410">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建筑设计与品质</w:t>
            </w:r>
          </w:p>
        </w:tc>
        <w:tc>
          <w:tcPr>
            <w:tcW w:w="4475" w:type="dxa"/>
            <w:tcBorders>
              <w:left w:val="single" w:color="auto" w:sz="4" w:space="0"/>
              <w:tl2br w:val="nil"/>
              <w:tr2bl w:val="nil"/>
            </w:tcBorders>
            <w:shd w:val="clear" w:color="auto" w:fill="auto"/>
            <w:vAlign w:val="center"/>
          </w:tcPr>
          <w:p w14:paraId="746C1FFF">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建筑外立面形象、楼龄、结构、层高、柱网间距、公共区域（中庭、卫生间）的装修品质与维护状态</w:t>
            </w:r>
          </w:p>
        </w:tc>
      </w:tr>
      <w:tr w14:paraId="62BB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2" w:hRule="atLeast"/>
          <w:tblHeader/>
          <w:jc w:val="center"/>
        </w:trPr>
        <w:tc>
          <w:tcPr>
            <w:tcW w:w="1191" w:type="dxa"/>
            <w:vMerge w:val="continue"/>
            <w:tcBorders>
              <w:tl2br w:val="nil"/>
              <w:tr2bl w:val="nil"/>
            </w:tcBorders>
            <w:shd w:val="clear" w:color="auto" w:fill="auto"/>
            <w:vAlign w:val="center"/>
          </w:tcPr>
          <w:p w14:paraId="683877B8">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37A97A82">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5624BCBE">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设施设备</w:t>
            </w:r>
          </w:p>
        </w:tc>
        <w:tc>
          <w:tcPr>
            <w:tcW w:w="4475" w:type="dxa"/>
            <w:tcBorders>
              <w:left w:val="single" w:color="auto" w:sz="4" w:space="0"/>
              <w:tl2br w:val="nil"/>
              <w:tr2bl w:val="nil"/>
            </w:tcBorders>
            <w:shd w:val="clear" w:color="auto" w:fill="auto"/>
            <w:vAlign w:val="center"/>
          </w:tcPr>
          <w:p w14:paraId="3FEA4D09">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垂直交通（扶梯、直梯、货梯）的数量、品牌与运行效率；空调、消防、智能化系统（停车、安防、Wi-Fi）的完备性与先进性</w:t>
            </w:r>
          </w:p>
        </w:tc>
      </w:tr>
      <w:tr w14:paraId="3D85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8" w:hRule="atLeast"/>
          <w:tblHeader/>
          <w:jc w:val="center"/>
        </w:trPr>
        <w:tc>
          <w:tcPr>
            <w:tcW w:w="1191" w:type="dxa"/>
            <w:vMerge w:val="continue"/>
            <w:tcBorders>
              <w:tl2br w:val="nil"/>
              <w:tr2bl w:val="nil"/>
            </w:tcBorders>
            <w:shd w:val="clear" w:color="auto" w:fill="auto"/>
            <w:vAlign w:val="center"/>
          </w:tcPr>
          <w:p w14:paraId="20CBF02F">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57E2D967">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4CE29323">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空间布局与人流</w:t>
            </w:r>
            <w:r>
              <w:rPr>
                <w:rFonts w:hint="eastAsia" w:ascii="Times New Roman" w:hAnsi="Times New Roman" w:eastAsia="方正仿宋_GBK" w:cs="Times New Roman"/>
                <w:kern w:val="0"/>
                <w:szCs w:val="21"/>
              </w:rPr>
              <w:t>物流</w:t>
            </w:r>
            <w:r>
              <w:rPr>
                <w:rFonts w:ascii="Times New Roman" w:hAnsi="Times New Roman" w:eastAsia="方正仿宋_GBK" w:cs="Times New Roman"/>
                <w:kern w:val="0"/>
                <w:szCs w:val="21"/>
              </w:rPr>
              <w:t>动线</w:t>
            </w:r>
          </w:p>
        </w:tc>
        <w:tc>
          <w:tcPr>
            <w:tcW w:w="4475" w:type="dxa"/>
            <w:tcBorders>
              <w:left w:val="single" w:color="auto" w:sz="4" w:space="0"/>
              <w:tl2br w:val="nil"/>
              <w:tr2bl w:val="nil"/>
            </w:tcBorders>
            <w:shd w:val="clear" w:color="auto" w:fill="auto"/>
            <w:vAlign w:val="center"/>
          </w:tcPr>
          <w:p w14:paraId="1B9E4BC2">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整体平面布局的合理性（如环形、一字型）；主动线设计的清晰度与流畅性，能否有效引导客流，减少商业死角</w:t>
            </w:r>
            <w:r>
              <w:rPr>
                <w:rFonts w:hint="eastAsia" w:ascii="Times New Roman" w:hAnsi="Times New Roman" w:eastAsia="方正仿宋_GBK" w:cs="Times New Roman"/>
                <w:kern w:val="0"/>
                <w:szCs w:val="21"/>
              </w:rPr>
              <w:t>；物流与人流动线分离，物流场地是否充裕</w:t>
            </w:r>
          </w:p>
        </w:tc>
      </w:tr>
      <w:tr w14:paraId="5CCF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blHeader/>
          <w:jc w:val="center"/>
        </w:trPr>
        <w:tc>
          <w:tcPr>
            <w:tcW w:w="1191" w:type="dxa"/>
            <w:vMerge w:val="continue"/>
            <w:tcBorders>
              <w:tl2br w:val="nil"/>
              <w:tr2bl w:val="nil"/>
            </w:tcBorders>
            <w:shd w:val="clear" w:color="auto" w:fill="auto"/>
            <w:vAlign w:val="center"/>
          </w:tcPr>
          <w:p w14:paraId="6BD95920">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396C4A41">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78B4A686">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停车配套</w:t>
            </w:r>
          </w:p>
        </w:tc>
        <w:tc>
          <w:tcPr>
            <w:tcW w:w="4475" w:type="dxa"/>
            <w:tcBorders>
              <w:left w:val="single" w:color="auto" w:sz="4" w:space="0"/>
              <w:tl2br w:val="nil"/>
              <w:tr2bl w:val="nil"/>
            </w:tcBorders>
            <w:shd w:val="clear" w:color="auto" w:fill="auto"/>
            <w:vAlign w:val="center"/>
          </w:tcPr>
          <w:p w14:paraId="56A9E3A4">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核心因子。停车场总容量、车位配比、进出便利性、智能化管理水平及收费政策</w:t>
            </w:r>
          </w:p>
        </w:tc>
      </w:tr>
      <w:tr w14:paraId="387E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2" w:hRule="atLeast"/>
          <w:tblHeader/>
          <w:jc w:val="center"/>
        </w:trPr>
        <w:tc>
          <w:tcPr>
            <w:tcW w:w="1191" w:type="dxa"/>
            <w:vMerge w:val="continue"/>
            <w:tcBorders>
              <w:tl2br w:val="nil"/>
              <w:tr2bl w:val="nil"/>
            </w:tcBorders>
            <w:shd w:val="clear" w:color="auto" w:fill="auto"/>
            <w:vAlign w:val="center"/>
          </w:tcPr>
          <w:p w14:paraId="41D97532">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122E0D6B">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3AB8E423">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业态组合与定位</w:t>
            </w:r>
          </w:p>
        </w:tc>
        <w:tc>
          <w:tcPr>
            <w:tcW w:w="4475" w:type="dxa"/>
            <w:tcBorders>
              <w:left w:val="single" w:color="auto" w:sz="4" w:space="0"/>
              <w:tl2br w:val="nil"/>
              <w:tr2bl w:val="nil"/>
            </w:tcBorders>
            <w:shd w:val="clear" w:color="auto" w:fill="auto"/>
            <w:vAlign w:val="center"/>
          </w:tcPr>
          <w:p w14:paraId="2AB9CFA7">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运营类：业态规划的合理性（如零售、餐饮、娱乐的配比），主力店与次主力店的品牌号召力，整体定位与区域需求的匹配度</w:t>
            </w:r>
          </w:p>
        </w:tc>
      </w:tr>
      <w:tr w14:paraId="3D75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tblHeader/>
          <w:jc w:val="center"/>
        </w:trPr>
        <w:tc>
          <w:tcPr>
            <w:tcW w:w="1191" w:type="dxa"/>
            <w:vMerge w:val="continue"/>
            <w:tcBorders>
              <w:tl2br w:val="nil"/>
              <w:tr2bl w:val="nil"/>
            </w:tcBorders>
            <w:shd w:val="clear" w:color="auto" w:fill="auto"/>
            <w:vAlign w:val="center"/>
          </w:tcPr>
          <w:p w14:paraId="423B8613">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53D8D1D9">
            <w:pPr>
              <w:widowControl/>
              <w:spacing w:line="300" w:lineRule="exact"/>
              <w:jc w:val="left"/>
              <w:textAlignment w:val="center"/>
              <w:rPr>
                <w:rFonts w:ascii="Times New Roman" w:hAnsi="Times New Roman" w:eastAsia="方正仿宋_GBK" w:cs="Times New Roman"/>
                <w:kern w:val="0"/>
                <w:szCs w:val="21"/>
              </w:rPr>
            </w:pPr>
          </w:p>
        </w:tc>
        <w:tc>
          <w:tcPr>
            <w:tcW w:w="1435" w:type="dxa"/>
            <w:tcBorders>
              <w:right w:val="single" w:color="auto" w:sz="4" w:space="0"/>
              <w:tl2br w:val="nil"/>
              <w:tr2bl w:val="nil"/>
            </w:tcBorders>
            <w:shd w:val="clear" w:color="auto" w:fill="auto"/>
            <w:vAlign w:val="center"/>
          </w:tcPr>
          <w:p w14:paraId="157D3140">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运营管理能力</w:t>
            </w:r>
          </w:p>
        </w:tc>
        <w:tc>
          <w:tcPr>
            <w:tcW w:w="4475" w:type="dxa"/>
            <w:tcBorders>
              <w:left w:val="single" w:color="auto" w:sz="4" w:space="0"/>
              <w:tl2br w:val="nil"/>
              <w:tr2bl w:val="nil"/>
            </w:tcBorders>
            <w:shd w:val="clear" w:color="auto" w:fill="auto"/>
            <w:vAlign w:val="center"/>
          </w:tcPr>
          <w:p w14:paraId="0824CFE2">
            <w:pPr>
              <w:widowControl/>
              <w:spacing w:line="4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运营类：物业管理公司的品牌与经验</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统一的营销推广活动力度</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对商户的服务与管控水平</w:t>
            </w:r>
          </w:p>
        </w:tc>
      </w:tr>
    </w:tbl>
    <w:p w14:paraId="7876169C">
      <w:pPr>
        <w:rPr>
          <w:rFonts w:ascii="Times New Roman" w:hAnsi="Times New Roman" w:eastAsia="方正仿宋_GBK" w:cs="Times New Roman"/>
          <w:szCs w:val="21"/>
        </w:rPr>
        <w:sectPr>
          <w:pgSz w:w="11906" w:h="16838"/>
          <w:pgMar w:top="1440" w:right="1800" w:bottom="1440" w:left="1800" w:header="851" w:footer="992" w:gutter="0"/>
          <w:cols w:space="425" w:num="1"/>
          <w:docGrid w:type="lines" w:linePitch="312" w:charSpace="0"/>
        </w:sectPr>
      </w:pPr>
    </w:p>
    <w:p w14:paraId="49CC5323">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表4  办公类租金影响因素因子说明表</w:t>
      </w:r>
    </w:p>
    <w:tbl>
      <w:tblPr>
        <w:tblStyle w:val="9"/>
        <w:tblW w:w="9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22"/>
        <w:gridCol w:w="1200"/>
        <w:gridCol w:w="1444"/>
        <w:gridCol w:w="5232"/>
      </w:tblGrid>
      <w:tr w14:paraId="65C4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1222" w:type="dxa"/>
            <w:tcBorders>
              <w:tl2br w:val="nil"/>
              <w:tr2bl w:val="nil"/>
            </w:tcBorders>
            <w:shd w:val="clear" w:color="auto" w:fill="auto"/>
            <w:vAlign w:val="center"/>
          </w:tcPr>
          <w:p w14:paraId="53D30CBF">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200" w:type="dxa"/>
            <w:tcBorders>
              <w:tl2br w:val="nil"/>
              <w:tr2bl w:val="nil"/>
            </w:tcBorders>
            <w:shd w:val="clear" w:color="auto" w:fill="auto"/>
            <w:vAlign w:val="center"/>
          </w:tcPr>
          <w:p w14:paraId="160567FA">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444" w:type="dxa"/>
            <w:tcBorders>
              <w:right w:val="single" w:color="auto" w:sz="4" w:space="0"/>
              <w:tl2br w:val="nil"/>
              <w:tr2bl w:val="nil"/>
            </w:tcBorders>
            <w:shd w:val="clear" w:color="auto" w:fill="auto"/>
            <w:vAlign w:val="center"/>
          </w:tcPr>
          <w:p w14:paraId="17EE29D6">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5232" w:type="dxa"/>
            <w:tcBorders>
              <w:left w:val="single" w:color="auto" w:sz="4" w:space="0"/>
              <w:tl2br w:val="nil"/>
              <w:tr2bl w:val="nil"/>
            </w:tcBorders>
            <w:shd w:val="clear" w:color="auto" w:fill="auto"/>
            <w:vAlign w:val="center"/>
          </w:tcPr>
          <w:p w14:paraId="6BBB806A">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0887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restart"/>
            <w:tcBorders>
              <w:tl2br w:val="nil"/>
              <w:tr2bl w:val="nil"/>
            </w:tcBorders>
            <w:shd w:val="clear" w:color="auto" w:fill="auto"/>
            <w:vAlign w:val="center"/>
          </w:tcPr>
          <w:p w14:paraId="627DDA32">
            <w:pPr>
              <w:widowControl/>
              <w:spacing w:line="24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区位状况（邻里与环境特征）</w:t>
            </w:r>
          </w:p>
        </w:tc>
        <w:tc>
          <w:tcPr>
            <w:tcW w:w="1200" w:type="dxa"/>
            <w:vMerge w:val="restart"/>
            <w:tcBorders>
              <w:tl2br w:val="nil"/>
              <w:tr2bl w:val="nil"/>
            </w:tcBorders>
            <w:shd w:val="clear" w:color="auto" w:fill="auto"/>
            <w:vAlign w:val="center"/>
          </w:tcPr>
          <w:p w14:paraId="3AD5B476">
            <w:pPr>
              <w:widowControl/>
              <w:spacing w:line="24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反映办公物业所处区位的整体条件，通常在一定半径内评估其对租金的影响</w:t>
            </w:r>
          </w:p>
        </w:tc>
        <w:tc>
          <w:tcPr>
            <w:tcW w:w="1444" w:type="dxa"/>
            <w:tcBorders>
              <w:right w:val="single" w:color="auto" w:sz="4" w:space="0"/>
              <w:tl2br w:val="nil"/>
              <w:tr2bl w:val="nil"/>
            </w:tcBorders>
            <w:shd w:val="clear" w:color="auto" w:fill="auto"/>
            <w:vAlign w:val="center"/>
          </w:tcPr>
          <w:p w14:paraId="1827E81B">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区域功能定位</w:t>
            </w:r>
          </w:p>
        </w:tc>
        <w:tc>
          <w:tcPr>
            <w:tcW w:w="5232" w:type="dxa"/>
            <w:tcBorders>
              <w:left w:val="single" w:color="auto" w:sz="4" w:space="0"/>
              <w:tl2br w:val="nil"/>
              <w:tr2bl w:val="nil"/>
            </w:tcBorders>
            <w:shd w:val="clear" w:color="auto" w:fill="auto"/>
            <w:vAlign w:val="center"/>
          </w:tcPr>
          <w:p w14:paraId="6081408C">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所处城市功能区定位（如中央商务区CBD、金融街、高科技园区等）</w:t>
            </w:r>
            <w:r>
              <w:rPr>
                <w:rFonts w:hint="eastAsia" w:ascii="Times New Roman" w:hAnsi="Times New Roman" w:eastAsia="方正仿宋_GBK" w:cs="Times New Roman"/>
                <w:kern w:val="0"/>
                <w:sz w:val="20"/>
                <w:szCs w:val="20"/>
              </w:rPr>
              <w:t>以</w:t>
            </w:r>
            <w:r>
              <w:rPr>
                <w:rFonts w:ascii="Times New Roman" w:hAnsi="Times New Roman" w:eastAsia="方正仿宋_GBK" w:cs="Times New Roman"/>
                <w:kern w:val="0"/>
                <w:sz w:val="20"/>
                <w:szCs w:val="20"/>
              </w:rPr>
              <w:t>及带来的企业形象展示价值和品牌协同效应</w:t>
            </w:r>
          </w:p>
        </w:tc>
      </w:tr>
      <w:tr w14:paraId="6365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5AF97F82">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2A633BF2">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1C196975">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5232" w:type="dxa"/>
            <w:tcBorders>
              <w:left w:val="single" w:color="auto" w:sz="4" w:space="0"/>
              <w:tl2br w:val="nil"/>
              <w:tr2bl w:val="nil"/>
            </w:tcBorders>
            <w:shd w:val="clear" w:color="auto" w:fill="auto"/>
            <w:vAlign w:val="center"/>
          </w:tcPr>
          <w:p w14:paraId="647A6320">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公共交通：距地铁站距离、公交线路密度；道路通行：邻近主干道情况、拥堵程度、至机场/高铁站便利性；静态交通：周边公共停车场配置与费用</w:t>
            </w:r>
          </w:p>
        </w:tc>
      </w:tr>
      <w:tr w14:paraId="768A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6147024E">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4F6416B2">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0FC98F39">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产业聚集度</w:t>
            </w:r>
          </w:p>
        </w:tc>
        <w:tc>
          <w:tcPr>
            <w:tcW w:w="5232" w:type="dxa"/>
            <w:tcBorders>
              <w:left w:val="single" w:color="auto" w:sz="4" w:space="0"/>
              <w:tl2br w:val="nil"/>
              <w:tr2bl w:val="nil"/>
            </w:tcBorders>
            <w:shd w:val="clear" w:color="auto" w:fill="auto"/>
            <w:vAlign w:val="center"/>
          </w:tcPr>
          <w:p w14:paraId="0B9B9A6C">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同类行业或产业链上下游企业在周边的集聚规模与质量，形成的产业集群效应、人才池深度与业务合作便利性</w:t>
            </w:r>
          </w:p>
        </w:tc>
      </w:tr>
      <w:tr w14:paraId="0188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73C36CBF">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7519F3D0">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0313EF8C">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商业配套完善度</w:t>
            </w:r>
          </w:p>
        </w:tc>
        <w:tc>
          <w:tcPr>
            <w:tcW w:w="5232" w:type="dxa"/>
            <w:tcBorders>
              <w:left w:val="single" w:color="auto" w:sz="4" w:space="0"/>
              <w:tl2br w:val="nil"/>
              <w:tr2bl w:val="nil"/>
            </w:tcBorders>
            <w:shd w:val="clear" w:color="auto" w:fill="auto"/>
            <w:vAlign w:val="center"/>
          </w:tcPr>
          <w:p w14:paraId="69369617">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周边餐饮、酒店、银行、邮政、会议中心、文印店、便利店、健身房等商业服务设施的丰富度、品质与可达性</w:t>
            </w:r>
          </w:p>
        </w:tc>
      </w:tr>
      <w:tr w14:paraId="39DD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4A900EF0">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5B3E2852">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088F5427">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周围环境</w:t>
            </w:r>
          </w:p>
        </w:tc>
        <w:tc>
          <w:tcPr>
            <w:tcW w:w="5232" w:type="dxa"/>
            <w:tcBorders>
              <w:left w:val="single" w:color="auto" w:sz="4" w:space="0"/>
              <w:tl2br w:val="nil"/>
              <w:tr2bl w:val="nil"/>
            </w:tcBorders>
            <w:shd w:val="clear" w:color="auto" w:fill="auto"/>
            <w:vAlign w:val="center"/>
          </w:tcPr>
          <w:p w14:paraId="7A7A9487">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人文与社会环境：周边区域人口素质、治安状况、文化氛围（如邻近高校、研究机构）等软性环境因素；自然环境与景观资源：自然景观（公园、水系、山景）、城市视野的开阔度，以及区域的</w:t>
            </w:r>
            <w:r>
              <w:rPr>
                <w:rFonts w:hint="eastAsia" w:ascii="Times New Roman" w:hAnsi="Times New Roman" w:eastAsia="方正仿宋_GBK" w:cs="Times New Roman"/>
                <w:kern w:val="0"/>
                <w:sz w:val="20"/>
                <w:szCs w:val="20"/>
              </w:rPr>
              <w:t>噪声</w:t>
            </w:r>
            <w:r>
              <w:rPr>
                <w:rFonts w:ascii="Times New Roman" w:hAnsi="Times New Roman" w:eastAsia="方正仿宋_GBK" w:cs="Times New Roman"/>
                <w:kern w:val="0"/>
                <w:sz w:val="20"/>
                <w:szCs w:val="20"/>
              </w:rPr>
              <w:t>、空气质量等物理环境条件</w:t>
            </w:r>
          </w:p>
        </w:tc>
      </w:tr>
      <w:tr w14:paraId="678B4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65E57E77">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1EC98294">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7A644132">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区域政策导向</w:t>
            </w:r>
          </w:p>
        </w:tc>
        <w:tc>
          <w:tcPr>
            <w:tcW w:w="5232" w:type="dxa"/>
            <w:tcBorders>
              <w:left w:val="single" w:color="auto" w:sz="4" w:space="0"/>
              <w:tl2br w:val="nil"/>
              <w:tr2bl w:val="nil"/>
            </w:tcBorders>
            <w:shd w:val="clear" w:color="auto" w:fill="auto"/>
            <w:vAlign w:val="center"/>
          </w:tcPr>
          <w:p w14:paraId="27C90FA5">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所在区域是否享有政府特殊的产业扶持、税收优惠、人才引进等政策红利</w:t>
            </w:r>
          </w:p>
        </w:tc>
      </w:tr>
      <w:tr w14:paraId="25A0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restart"/>
            <w:tcBorders>
              <w:tl2br w:val="nil"/>
              <w:tr2bl w:val="nil"/>
            </w:tcBorders>
            <w:shd w:val="clear" w:color="auto" w:fill="auto"/>
            <w:vAlign w:val="center"/>
          </w:tcPr>
          <w:p w14:paraId="0BCE9112">
            <w:pPr>
              <w:widowControl/>
              <w:spacing w:line="24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实物状况（建筑与空间特征）</w:t>
            </w:r>
          </w:p>
        </w:tc>
        <w:tc>
          <w:tcPr>
            <w:tcW w:w="1200" w:type="dxa"/>
            <w:vMerge w:val="restart"/>
            <w:tcBorders>
              <w:tl2br w:val="nil"/>
              <w:tr2bl w:val="nil"/>
            </w:tcBorders>
            <w:shd w:val="clear" w:color="auto" w:fill="auto"/>
            <w:vAlign w:val="center"/>
          </w:tcPr>
          <w:p w14:paraId="58977779">
            <w:pPr>
              <w:widowControl/>
              <w:spacing w:line="24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反映办公建筑本身及其硬件设施对租金的影响</w:t>
            </w:r>
          </w:p>
        </w:tc>
        <w:tc>
          <w:tcPr>
            <w:tcW w:w="1444" w:type="dxa"/>
            <w:tcBorders>
              <w:right w:val="single" w:color="auto" w:sz="4" w:space="0"/>
              <w:tl2br w:val="nil"/>
              <w:tr2bl w:val="nil"/>
            </w:tcBorders>
            <w:shd w:val="clear" w:color="auto" w:fill="auto"/>
            <w:vAlign w:val="center"/>
          </w:tcPr>
          <w:p w14:paraId="329E7944">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建筑设计与品质</w:t>
            </w:r>
          </w:p>
        </w:tc>
        <w:tc>
          <w:tcPr>
            <w:tcW w:w="5232" w:type="dxa"/>
            <w:tcBorders>
              <w:left w:val="single" w:color="auto" w:sz="4" w:space="0"/>
              <w:tl2br w:val="nil"/>
              <w:tr2bl w:val="nil"/>
            </w:tcBorders>
            <w:shd w:val="clear" w:color="auto" w:fill="auto"/>
            <w:vAlign w:val="center"/>
          </w:tcPr>
          <w:p w14:paraId="07974A92">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所在大楼的建筑形象、建筑规模、结构类型、建筑年代、外立面材质与维护状况</w:t>
            </w:r>
          </w:p>
        </w:tc>
      </w:tr>
      <w:tr w14:paraId="1C07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6DCCF5AC">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3F2324C3">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67559272">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设施设备与绿色认证</w:t>
            </w:r>
          </w:p>
        </w:tc>
        <w:tc>
          <w:tcPr>
            <w:tcW w:w="5232" w:type="dxa"/>
            <w:tcBorders>
              <w:left w:val="single" w:color="auto" w:sz="4" w:space="0"/>
              <w:tl2br w:val="nil"/>
              <w:tr2bl w:val="nil"/>
            </w:tcBorders>
            <w:shd w:val="clear" w:color="auto" w:fill="auto"/>
            <w:vAlign w:val="center"/>
          </w:tcPr>
          <w:p w14:paraId="17048FD0">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垂直交通：电梯数量、品牌、速度、梯控系统；空调系统：类型（中央/VRV）、运行时间、分区控制能力、能效等级；电力系统：电容配置、备用电源；网络通信：光纤接入、运营商覆盖；消防系统：自动报警、喷淋、排烟等；智能化系统：楼宇自控、智能安防（门禁、监控）、能源管理等；绿色认证：是否获得LEED、WELL、中国绿色建筑标识等认证及其等级</w:t>
            </w:r>
          </w:p>
        </w:tc>
      </w:tr>
      <w:tr w14:paraId="405D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4AFB648C">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03D429E6">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5E5C5766">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建筑维护与能耗</w:t>
            </w:r>
          </w:p>
        </w:tc>
        <w:tc>
          <w:tcPr>
            <w:tcW w:w="5232" w:type="dxa"/>
            <w:tcBorders>
              <w:left w:val="single" w:color="auto" w:sz="4" w:space="0"/>
              <w:tl2br w:val="nil"/>
              <w:tr2bl w:val="nil"/>
            </w:tcBorders>
            <w:shd w:val="clear" w:color="auto" w:fill="auto"/>
            <w:vAlign w:val="center"/>
          </w:tcPr>
          <w:p w14:paraId="08037F6F">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公共区域和关键设备（如电梯、空调）的维护保养状态，以及建筑的整体能耗水平（单位面积电费等运营成本）</w:t>
            </w:r>
          </w:p>
        </w:tc>
      </w:tr>
      <w:tr w14:paraId="2057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1D3A370B">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4B41ED3E">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690B0438">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共享与配套设施</w:t>
            </w:r>
          </w:p>
        </w:tc>
        <w:tc>
          <w:tcPr>
            <w:tcW w:w="5232" w:type="dxa"/>
            <w:tcBorders>
              <w:left w:val="single" w:color="auto" w:sz="4" w:space="0"/>
              <w:tl2br w:val="nil"/>
              <w:tr2bl w:val="nil"/>
            </w:tcBorders>
            <w:shd w:val="clear" w:color="auto" w:fill="auto"/>
            <w:vAlign w:val="center"/>
          </w:tcPr>
          <w:p w14:paraId="6961935C">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大楼内部提供的配套设施，如会议室、报告厅、员工餐厅、咖啡厅、便利店、母婴室、健身房、绿色露台等</w:t>
            </w:r>
          </w:p>
        </w:tc>
      </w:tr>
      <w:tr w14:paraId="51B67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7503D0D7">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22C47239">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6E2711C6">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空间功能属性</w:t>
            </w:r>
          </w:p>
        </w:tc>
        <w:tc>
          <w:tcPr>
            <w:tcW w:w="5232" w:type="dxa"/>
            <w:tcBorders>
              <w:left w:val="single" w:color="auto" w:sz="4" w:space="0"/>
              <w:tl2br w:val="nil"/>
              <w:tr2bl w:val="nil"/>
            </w:tcBorders>
            <w:shd w:val="clear" w:color="auto" w:fill="auto"/>
            <w:vAlign w:val="center"/>
          </w:tcPr>
          <w:p w14:paraId="26034D01">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空间位置：高、中、低区；空间效率：实用率（得房率）、层高、柱网间距；布局灵活性：空间规整度、是否适合开放式或模块化布局；承重能力：办公区、机房区地面荷载</w:t>
            </w:r>
          </w:p>
        </w:tc>
      </w:tr>
      <w:tr w14:paraId="4ADF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1E83345D">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189FB9E7">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76853205">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室内环境品质</w:t>
            </w:r>
          </w:p>
        </w:tc>
        <w:tc>
          <w:tcPr>
            <w:tcW w:w="5232" w:type="dxa"/>
            <w:tcBorders>
              <w:left w:val="single" w:color="auto" w:sz="4" w:space="0"/>
              <w:tl2br w:val="nil"/>
              <w:tr2bl w:val="nil"/>
            </w:tcBorders>
            <w:shd w:val="clear" w:color="auto" w:fill="auto"/>
            <w:vAlign w:val="center"/>
          </w:tcPr>
          <w:p w14:paraId="685E6413">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物理环境：采光（窗地面积比</w:t>
            </w:r>
            <w:r>
              <w:rPr>
                <w:rFonts w:hint="eastAsia" w:ascii="Times New Roman" w:hAnsi="Times New Roman" w:eastAsia="方正仿宋_GBK" w:cs="Times New Roman"/>
                <w:kern w:val="0"/>
                <w:sz w:val="20"/>
                <w:szCs w:val="20"/>
              </w:rPr>
              <w:t>，朝向</w:t>
            </w:r>
            <w:r>
              <w:rPr>
                <w:rFonts w:ascii="Times New Roman" w:hAnsi="Times New Roman" w:eastAsia="方正仿宋_GBK" w:cs="Times New Roman"/>
                <w:kern w:val="0"/>
                <w:sz w:val="20"/>
                <w:szCs w:val="20"/>
              </w:rPr>
              <w:t>）、通风（新风量、是否可开窗）、隔音性能、热舒适度；视觉环境：室内装修风格、材料质感与色彩搭配</w:t>
            </w:r>
            <w:r>
              <w:rPr>
                <w:rFonts w:hint="eastAsia" w:ascii="Times New Roman" w:hAnsi="Times New Roman" w:eastAsia="方正仿宋_GBK" w:cs="Times New Roman"/>
                <w:kern w:val="0"/>
                <w:sz w:val="20"/>
                <w:szCs w:val="20"/>
              </w:rPr>
              <w:t>，对外视野</w:t>
            </w:r>
          </w:p>
        </w:tc>
      </w:tr>
      <w:tr w14:paraId="4B40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142D351B">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7F117149">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1525E78D">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装修标准</w:t>
            </w:r>
          </w:p>
        </w:tc>
        <w:tc>
          <w:tcPr>
            <w:tcW w:w="5232" w:type="dxa"/>
            <w:tcBorders>
              <w:left w:val="single" w:color="auto" w:sz="4" w:space="0"/>
              <w:tl2br w:val="nil"/>
              <w:tr2bl w:val="nil"/>
            </w:tcBorders>
            <w:shd w:val="clear" w:color="auto" w:fill="auto"/>
            <w:vAlign w:val="center"/>
          </w:tcPr>
          <w:p w14:paraId="19B3063E">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包括公共区域（大堂、走廊、卫生间）与办公单元内部的装修档次、材料品质与设计风格</w:t>
            </w:r>
          </w:p>
        </w:tc>
      </w:tr>
      <w:tr w14:paraId="633E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51D0E274">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038DCFEE">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57F4081D">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停车配套</w:t>
            </w:r>
          </w:p>
        </w:tc>
        <w:tc>
          <w:tcPr>
            <w:tcW w:w="5232" w:type="dxa"/>
            <w:tcBorders>
              <w:left w:val="single" w:color="auto" w:sz="4" w:space="0"/>
              <w:tl2br w:val="nil"/>
              <w:tr2bl w:val="nil"/>
            </w:tcBorders>
            <w:shd w:val="clear" w:color="auto" w:fill="auto"/>
            <w:vAlign w:val="center"/>
          </w:tcPr>
          <w:p w14:paraId="3D1127FD">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包括车位配比（总车位/建筑面积或/百人）、车位管理方式（固定/随机）、停车费用（是否包含在租金内）、充电桩配置（特别是快充桩）、停车场动线设计与智能化水平（如车牌识别、车位引导）。车位不足或费用过高将对租金产生明显的减价影响，反之则形成溢价</w:t>
            </w:r>
          </w:p>
        </w:tc>
      </w:tr>
      <w:tr w14:paraId="2478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2" w:type="dxa"/>
            <w:vMerge w:val="continue"/>
            <w:tcBorders>
              <w:tl2br w:val="nil"/>
              <w:tr2bl w:val="nil"/>
            </w:tcBorders>
            <w:shd w:val="clear" w:color="auto" w:fill="auto"/>
            <w:vAlign w:val="center"/>
          </w:tcPr>
          <w:p w14:paraId="02B06F81">
            <w:pPr>
              <w:widowControl/>
              <w:spacing w:line="240" w:lineRule="exact"/>
              <w:jc w:val="center"/>
              <w:textAlignment w:val="center"/>
              <w:rPr>
                <w:rFonts w:ascii="Times New Roman" w:hAnsi="Times New Roman" w:eastAsia="方正仿宋_GBK" w:cs="Times New Roman"/>
                <w:kern w:val="0"/>
                <w:szCs w:val="21"/>
              </w:rPr>
            </w:pPr>
          </w:p>
        </w:tc>
        <w:tc>
          <w:tcPr>
            <w:tcW w:w="1200" w:type="dxa"/>
            <w:vMerge w:val="continue"/>
            <w:tcBorders>
              <w:tl2br w:val="nil"/>
              <w:tr2bl w:val="nil"/>
            </w:tcBorders>
            <w:shd w:val="clear" w:color="auto" w:fill="auto"/>
            <w:vAlign w:val="center"/>
          </w:tcPr>
          <w:p w14:paraId="74375788">
            <w:pPr>
              <w:widowControl/>
              <w:spacing w:line="240" w:lineRule="exact"/>
              <w:jc w:val="center"/>
              <w:textAlignment w:val="center"/>
              <w:rPr>
                <w:rFonts w:ascii="Times New Roman" w:hAnsi="Times New Roman" w:eastAsia="方正仿宋_GBK" w:cs="Times New Roman"/>
                <w:kern w:val="0"/>
                <w:szCs w:val="21"/>
              </w:rPr>
            </w:pPr>
          </w:p>
        </w:tc>
        <w:tc>
          <w:tcPr>
            <w:tcW w:w="1444" w:type="dxa"/>
            <w:tcBorders>
              <w:right w:val="single" w:color="auto" w:sz="4" w:space="0"/>
              <w:tl2br w:val="nil"/>
              <w:tr2bl w:val="nil"/>
            </w:tcBorders>
            <w:shd w:val="clear" w:color="auto" w:fill="auto"/>
            <w:vAlign w:val="center"/>
          </w:tcPr>
          <w:p w14:paraId="23BE5F20">
            <w:pPr>
              <w:widowControl/>
              <w:spacing w:line="26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物业管理</w:t>
            </w:r>
          </w:p>
        </w:tc>
        <w:tc>
          <w:tcPr>
            <w:tcW w:w="5232" w:type="dxa"/>
            <w:tcBorders>
              <w:left w:val="single" w:color="auto" w:sz="4" w:space="0"/>
              <w:tl2br w:val="nil"/>
              <w:tr2bl w:val="nil"/>
            </w:tcBorders>
            <w:shd w:val="clear" w:color="auto" w:fill="auto"/>
            <w:vAlign w:val="center"/>
          </w:tcPr>
          <w:p w14:paraId="391E1B9A">
            <w:pPr>
              <w:widowControl/>
              <w:spacing w:line="27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物业服务企业的品牌与口碑，服务内容包括日常维修响应、安保等级、清洁绿化标准、客户服务、节能减排管理等</w:t>
            </w:r>
          </w:p>
        </w:tc>
      </w:tr>
    </w:tbl>
    <w:p w14:paraId="51F95BBB">
      <w:pPr>
        <w:widowControl/>
        <w:jc w:val="left"/>
        <w:textAlignment w:val="center"/>
        <w:rPr>
          <w:rFonts w:ascii="Times New Roman" w:hAnsi="Times New Roman" w:eastAsia="黑体" w:cs="Times New Roman"/>
          <w:sz w:val="32"/>
          <w:szCs w:val="40"/>
        </w:rPr>
      </w:pPr>
      <w:r>
        <w:rPr>
          <w:rFonts w:ascii="Times New Roman" w:hAnsi="Times New Roman" w:eastAsia="方正仿宋_GBK" w:cs="Times New Roman"/>
          <w:szCs w:val="21"/>
        </w:rPr>
        <w:t>注：办公用途租金评估，需关注《商务楼宇等级划分要求》（GB/T 39069-2020），合理确定可比实例和</w:t>
      </w:r>
      <w:r>
        <w:rPr>
          <w:rFonts w:hint="eastAsia" w:ascii="Times New Roman" w:hAnsi="Times New Roman" w:eastAsia="方正仿宋_GBK" w:cs="Times New Roman"/>
          <w:szCs w:val="21"/>
        </w:rPr>
        <w:t>估价对象</w:t>
      </w:r>
      <w:r>
        <w:rPr>
          <w:rFonts w:ascii="Times New Roman" w:hAnsi="Times New Roman" w:eastAsia="方正仿宋_GBK" w:cs="Times New Roman"/>
          <w:szCs w:val="21"/>
        </w:rPr>
        <w:t>的因素等级评价标准。</w:t>
      </w:r>
    </w:p>
    <w:p w14:paraId="29884D21">
      <w:pPr>
        <w:spacing w:line="560" w:lineRule="exact"/>
        <w:rPr>
          <w:rFonts w:ascii="Times New Roman" w:hAnsi="Times New Roman" w:eastAsia="黑体" w:cs="Times New Roman"/>
          <w:sz w:val="32"/>
          <w:szCs w:val="40"/>
        </w:rPr>
        <w:sectPr>
          <w:pgSz w:w="11906" w:h="16838"/>
          <w:pgMar w:top="1440" w:right="1800" w:bottom="1440" w:left="1800" w:header="851" w:footer="992" w:gutter="0"/>
          <w:cols w:space="425" w:num="1"/>
          <w:docGrid w:type="lines" w:linePitch="312" w:charSpace="0"/>
        </w:sectPr>
      </w:pPr>
    </w:p>
    <w:p w14:paraId="1C9A0CEC">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表5  旅馆类租金影响因素因子说明表</w:t>
      </w:r>
    </w:p>
    <w:tbl>
      <w:tblPr>
        <w:tblStyle w:val="9"/>
        <w:tblW w:w="8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8"/>
        <w:gridCol w:w="1157"/>
        <w:gridCol w:w="1694"/>
        <w:gridCol w:w="4770"/>
      </w:tblGrid>
      <w:tr w14:paraId="0923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1178" w:type="dxa"/>
            <w:tcBorders>
              <w:tl2br w:val="nil"/>
              <w:tr2bl w:val="nil"/>
            </w:tcBorders>
            <w:shd w:val="clear" w:color="auto" w:fill="auto"/>
            <w:vAlign w:val="center"/>
          </w:tcPr>
          <w:p w14:paraId="3C703CE0">
            <w:pPr>
              <w:widowControl/>
              <w:spacing w:line="30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157" w:type="dxa"/>
            <w:tcBorders>
              <w:tl2br w:val="nil"/>
              <w:tr2bl w:val="nil"/>
            </w:tcBorders>
            <w:shd w:val="clear" w:color="auto" w:fill="auto"/>
            <w:vAlign w:val="center"/>
          </w:tcPr>
          <w:p w14:paraId="29CD1DC8">
            <w:pPr>
              <w:widowControl/>
              <w:spacing w:line="30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694" w:type="dxa"/>
            <w:tcBorders>
              <w:right w:val="single" w:color="auto" w:sz="4" w:space="0"/>
              <w:tl2br w:val="nil"/>
              <w:tr2bl w:val="nil"/>
            </w:tcBorders>
            <w:shd w:val="clear" w:color="auto" w:fill="auto"/>
            <w:vAlign w:val="center"/>
          </w:tcPr>
          <w:p w14:paraId="42C30002">
            <w:pPr>
              <w:widowControl/>
              <w:spacing w:line="30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770" w:type="dxa"/>
            <w:tcBorders>
              <w:left w:val="single" w:color="auto" w:sz="4" w:space="0"/>
              <w:tl2br w:val="nil"/>
              <w:tr2bl w:val="nil"/>
            </w:tcBorders>
            <w:shd w:val="clear" w:color="auto" w:fill="auto"/>
            <w:vAlign w:val="center"/>
          </w:tcPr>
          <w:p w14:paraId="6CC84509">
            <w:pPr>
              <w:widowControl/>
              <w:spacing w:line="300" w:lineRule="exact"/>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32EE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restart"/>
            <w:tcBorders>
              <w:tl2br w:val="nil"/>
              <w:tr2bl w:val="nil"/>
            </w:tcBorders>
            <w:shd w:val="clear" w:color="auto" w:fill="auto"/>
            <w:vAlign w:val="center"/>
          </w:tcPr>
          <w:p w14:paraId="3921E28D">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区位状况（邻里与环境特征）</w:t>
            </w:r>
          </w:p>
        </w:tc>
        <w:tc>
          <w:tcPr>
            <w:tcW w:w="1157" w:type="dxa"/>
            <w:vMerge w:val="restart"/>
            <w:tcBorders>
              <w:tl2br w:val="nil"/>
              <w:tr2bl w:val="nil"/>
            </w:tcBorders>
            <w:shd w:val="clear" w:color="auto" w:fill="auto"/>
            <w:vAlign w:val="center"/>
          </w:tcPr>
          <w:p w14:paraId="48A62C99">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反映旅馆（酒店）所处外部环境的优劣，是其潜在市场吸引力与可达性的先天基础，通常在一定半径内评估其对租金的影响</w:t>
            </w:r>
          </w:p>
        </w:tc>
        <w:tc>
          <w:tcPr>
            <w:tcW w:w="1694" w:type="dxa"/>
            <w:tcBorders>
              <w:right w:val="single" w:color="auto" w:sz="4" w:space="0"/>
              <w:tl2br w:val="nil"/>
              <w:tr2bl w:val="nil"/>
            </w:tcBorders>
            <w:shd w:val="clear" w:color="auto" w:fill="auto"/>
            <w:vAlign w:val="center"/>
          </w:tcPr>
          <w:p w14:paraId="5622B25F">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地理位置</w:t>
            </w:r>
          </w:p>
        </w:tc>
        <w:tc>
          <w:tcPr>
            <w:tcW w:w="4770" w:type="dxa"/>
            <w:tcBorders>
              <w:left w:val="single" w:color="auto" w:sz="4" w:space="0"/>
              <w:tl2br w:val="nil"/>
              <w:tr2bl w:val="nil"/>
            </w:tcBorders>
            <w:shd w:val="clear" w:color="auto" w:fill="auto"/>
            <w:vAlign w:val="center"/>
          </w:tcPr>
          <w:p w14:paraId="48958740">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是否位于城市窗口地区（如机场、火车站）、旅游集散中心、</w:t>
            </w:r>
            <w:r>
              <w:rPr>
                <w:rFonts w:hint="eastAsia" w:ascii="Times New Roman" w:hAnsi="Times New Roman" w:eastAsia="方正仿宋_GBK" w:cs="Times New Roman"/>
                <w:kern w:val="0"/>
                <w:szCs w:val="21"/>
              </w:rPr>
              <w:t>重要商圈或</w:t>
            </w:r>
            <w:r>
              <w:rPr>
                <w:rFonts w:ascii="Times New Roman" w:hAnsi="Times New Roman" w:eastAsia="方正仿宋_GBK" w:cs="Times New Roman"/>
                <w:kern w:val="0"/>
                <w:szCs w:val="21"/>
              </w:rPr>
              <w:t>商务区</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知名景区门户</w:t>
            </w:r>
          </w:p>
        </w:tc>
      </w:tr>
      <w:tr w14:paraId="164F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639DB648">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416DFC1C">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6962DBB7">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4770" w:type="dxa"/>
            <w:tcBorders>
              <w:left w:val="single" w:color="auto" w:sz="4" w:space="0"/>
              <w:tl2br w:val="nil"/>
              <w:tr2bl w:val="nil"/>
            </w:tcBorders>
            <w:shd w:val="clear" w:color="auto" w:fill="auto"/>
            <w:vAlign w:val="center"/>
          </w:tcPr>
          <w:p w14:paraId="64705C9D">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与主要交通枢纽（机场、火车站、汽车站）的距离，与高/快速路出入口的距离，周边公交与地铁线路的密度及站点距离</w:t>
            </w:r>
          </w:p>
        </w:tc>
      </w:tr>
      <w:tr w14:paraId="1AD3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continue"/>
            <w:tcBorders>
              <w:tl2br w:val="nil"/>
              <w:tr2bl w:val="nil"/>
            </w:tcBorders>
            <w:shd w:val="clear" w:color="auto" w:fill="auto"/>
            <w:vAlign w:val="center"/>
          </w:tcPr>
          <w:p w14:paraId="27624A31">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5D94E529">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38676D48">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客源导向与聚集度</w:t>
            </w:r>
          </w:p>
        </w:tc>
        <w:tc>
          <w:tcPr>
            <w:tcW w:w="4770" w:type="dxa"/>
            <w:tcBorders>
              <w:left w:val="single" w:color="auto" w:sz="4" w:space="0"/>
              <w:tl2br w:val="nil"/>
              <w:tr2bl w:val="nil"/>
            </w:tcBorders>
            <w:shd w:val="clear" w:color="auto" w:fill="auto"/>
            <w:vAlign w:val="center"/>
          </w:tcPr>
          <w:p w14:paraId="59A3815E">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周边是否能自然吸引并聚集目标客源，如邻近大型会展中心、商务楼宇、旅游景点、高校或大型医院</w:t>
            </w:r>
          </w:p>
        </w:tc>
      </w:tr>
      <w:tr w14:paraId="4BB7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continue"/>
            <w:tcBorders>
              <w:tl2br w:val="nil"/>
              <w:tr2bl w:val="nil"/>
            </w:tcBorders>
            <w:shd w:val="clear" w:color="auto" w:fill="auto"/>
            <w:vAlign w:val="center"/>
          </w:tcPr>
          <w:p w14:paraId="56F35510">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771BAAD4">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1D320BAA">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外部配套</w:t>
            </w:r>
          </w:p>
        </w:tc>
        <w:tc>
          <w:tcPr>
            <w:tcW w:w="4770" w:type="dxa"/>
            <w:tcBorders>
              <w:left w:val="single" w:color="auto" w:sz="4" w:space="0"/>
              <w:tl2br w:val="nil"/>
              <w:tr2bl w:val="nil"/>
            </w:tcBorders>
            <w:shd w:val="clear" w:color="auto" w:fill="auto"/>
            <w:vAlign w:val="center"/>
          </w:tcPr>
          <w:p w14:paraId="34D83D9F">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周边餐饮、购物、娱乐、休闲等配套的丰富度与质量，直接影响住客的便利性与入住体验</w:t>
            </w:r>
          </w:p>
        </w:tc>
      </w:tr>
      <w:tr w14:paraId="1C48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17E25ACD">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17A786B6">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186C4EAF">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周围环境</w:t>
            </w:r>
          </w:p>
        </w:tc>
        <w:tc>
          <w:tcPr>
            <w:tcW w:w="4770" w:type="dxa"/>
            <w:tcBorders>
              <w:left w:val="single" w:color="auto" w:sz="4" w:space="0"/>
              <w:tl2br w:val="nil"/>
              <w:tr2bl w:val="nil"/>
            </w:tcBorders>
            <w:shd w:val="clear" w:color="auto" w:fill="auto"/>
            <w:vAlign w:val="center"/>
          </w:tcPr>
          <w:p w14:paraId="3D4BB09C">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区域的治安、</w:t>
            </w:r>
            <w:r>
              <w:rPr>
                <w:rFonts w:hint="eastAsia" w:ascii="Times New Roman" w:hAnsi="Times New Roman" w:eastAsia="方正仿宋_GBK" w:cs="Times New Roman"/>
                <w:kern w:val="0"/>
                <w:szCs w:val="21"/>
              </w:rPr>
              <w:t>噪声</w:t>
            </w:r>
            <w:r>
              <w:rPr>
                <w:rFonts w:ascii="Times New Roman" w:hAnsi="Times New Roman" w:eastAsia="方正仿宋_GBK" w:cs="Times New Roman"/>
                <w:kern w:val="0"/>
                <w:szCs w:val="21"/>
              </w:rPr>
              <w:t>、空气质量状况，以及拥有的自然（海景、山景、公园）或人文（历史街区、城市地标）景观资源</w:t>
            </w:r>
          </w:p>
        </w:tc>
      </w:tr>
      <w:tr w14:paraId="435D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continue"/>
            <w:tcBorders>
              <w:tl2br w:val="nil"/>
              <w:tr2bl w:val="nil"/>
            </w:tcBorders>
            <w:shd w:val="clear" w:color="auto" w:fill="auto"/>
            <w:vAlign w:val="center"/>
          </w:tcPr>
          <w:p w14:paraId="238A9510">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748159A3">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1C95D33A">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市场竞争格局</w:t>
            </w:r>
          </w:p>
        </w:tc>
        <w:tc>
          <w:tcPr>
            <w:tcW w:w="4770" w:type="dxa"/>
            <w:tcBorders>
              <w:left w:val="single" w:color="auto" w:sz="4" w:space="0"/>
              <w:tl2br w:val="nil"/>
              <w:tr2bl w:val="nil"/>
            </w:tcBorders>
            <w:shd w:val="clear" w:color="auto" w:fill="auto"/>
            <w:vAlign w:val="center"/>
          </w:tcPr>
          <w:p w14:paraId="2ED18D8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周边3-5公里范围内同星级、同类型竞争酒店的数量、规模、品牌与价格水平，以及未来的供给增量</w:t>
            </w:r>
          </w:p>
        </w:tc>
      </w:tr>
      <w:tr w14:paraId="4048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restart"/>
            <w:tcBorders>
              <w:tl2br w:val="nil"/>
              <w:tr2bl w:val="nil"/>
            </w:tcBorders>
            <w:shd w:val="clear" w:color="auto" w:fill="auto"/>
            <w:vAlign w:val="center"/>
          </w:tcPr>
          <w:p w14:paraId="182B34EF">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实物状况（建筑、硬件与运营特征）</w:t>
            </w:r>
          </w:p>
        </w:tc>
        <w:tc>
          <w:tcPr>
            <w:tcW w:w="1157" w:type="dxa"/>
            <w:vMerge w:val="restart"/>
            <w:tcBorders>
              <w:tl2br w:val="nil"/>
              <w:tr2bl w:val="nil"/>
            </w:tcBorders>
            <w:shd w:val="clear" w:color="auto" w:fill="auto"/>
            <w:vAlign w:val="center"/>
          </w:tcPr>
          <w:p w14:paraId="6809A8AC">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反映旅馆（酒店）建筑及硬件设施的功能性、舒适度与维护状态</w:t>
            </w:r>
          </w:p>
        </w:tc>
        <w:tc>
          <w:tcPr>
            <w:tcW w:w="1694" w:type="dxa"/>
            <w:tcBorders>
              <w:right w:val="single" w:color="auto" w:sz="4" w:space="0"/>
              <w:tl2br w:val="nil"/>
              <w:tr2bl w:val="nil"/>
            </w:tcBorders>
            <w:shd w:val="clear" w:color="auto" w:fill="auto"/>
            <w:vAlign w:val="center"/>
          </w:tcPr>
          <w:p w14:paraId="18803BC6">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昭示性与可达性</w:t>
            </w:r>
          </w:p>
        </w:tc>
        <w:tc>
          <w:tcPr>
            <w:tcW w:w="4770" w:type="dxa"/>
            <w:tcBorders>
              <w:left w:val="single" w:color="auto" w:sz="4" w:space="0"/>
              <w:tl2br w:val="nil"/>
              <w:tr2bl w:val="nil"/>
            </w:tcBorders>
            <w:shd w:val="clear" w:color="auto" w:fill="auto"/>
            <w:vAlign w:val="center"/>
          </w:tcPr>
          <w:p w14:paraId="77C4CEA2">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昭示性：建筑外立面、店招的视觉突出性和品牌辨识度；可达性：车辆驶入、落客及通往停车场的流线是否清晰便捷</w:t>
            </w:r>
          </w:p>
        </w:tc>
      </w:tr>
      <w:tr w14:paraId="701F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2511FEEE">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11CFD9C3">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6D4DA454">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建筑结构与设施设备</w:t>
            </w:r>
          </w:p>
        </w:tc>
        <w:tc>
          <w:tcPr>
            <w:tcW w:w="4770" w:type="dxa"/>
            <w:tcBorders>
              <w:left w:val="single" w:color="auto" w:sz="4" w:space="0"/>
              <w:tl2br w:val="nil"/>
              <w:tr2bl w:val="nil"/>
            </w:tcBorders>
            <w:shd w:val="clear" w:color="auto" w:fill="auto"/>
            <w:vAlign w:val="center"/>
          </w:tcPr>
          <w:p w14:paraId="7728D6A6">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建筑年代、结构类型、整体维护水平。关键设备系统（电梯、空调、消防、弱电）的成新度、容量与运行可靠性</w:t>
            </w:r>
          </w:p>
        </w:tc>
      </w:tr>
      <w:tr w14:paraId="15BD5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309D6352">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125C297E">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3B077BB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功能布局与流线设计</w:t>
            </w:r>
          </w:p>
        </w:tc>
        <w:tc>
          <w:tcPr>
            <w:tcW w:w="4770" w:type="dxa"/>
            <w:tcBorders>
              <w:left w:val="single" w:color="auto" w:sz="4" w:space="0"/>
              <w:tl2br w:val="nil"/>
              <w:tr2bl w:val="nil"/>
            </w:tcBorders>
            <w:shd w:val="clear" w:color="auto" w:fill="auto"/>
            <w:vAlign w:val="center"/>
          </w:tcPr>
          <w:p w14:paraId="678FD89C">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前厅、客房、餐饮、会议、后勤等各功能区域的平面布局合理性，客人流线与服务流线是否高效且互不干扰</w:t>
            </w:r>
          </w:p>
        </w:tc>
      </w:tr>
      <w:tr w14:paraId="22E1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continue"/>
            <w:tcBorders>
              <w:tl2br w:val="nil"/>
              <w:tr2bl w:val="nil"/>
            </w:tcBorders>
            <w:shd w:val="clear" w:color="auto" w:fill="auto"/>
            <w:vAlign w:val="center"/>
          </w:tcPr>
          <w:p w14:paraId="53AB3B65">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5BC832C8">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3875D948">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客房规模与户型配置</w:t>
            </w:r>
          </w:p>
        </w:tc>
        <w:tc>
          <w:tcPr>
            <w:tcW w:w="4770" w:type="dxa"/>
            <w:tcBorders>
              <w:left w:val="single" w:color="auto" w:sz="4" w:space="0"/>
              <w:tl2br w:val="nil"/>
              <w:tr2bl w:val="nil"/>
            </w:tcBorders>
            <w:shd w:val="clear" w:color="auto" w:fill="auto"/>
            <w:vAlign w:val="center"/>
          </w:tcPr>
          <w:p w14:paraId="0651FB0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客房总数量、不同房型（如标准间、大床房、套房）的配比及面积，是否符合市场需求</w:t>
            </w:r>
          </w:p>
        </w:tc>
      </w:tr>
      <w:tr w14:paraId="56DC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1164A7B9">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71D9C3B7">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7B8834C9">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装修与设施标准</w:t>
            </w:r>
          </w:p>
        </w:tc>
        <w:tc>
          <w:tcPr>
            <w:tcW w:w="4770" w:type="dxa"/>
            <w:tcBorders>
              <w:left w:val="single" w:color="auto" w:sz="4" w:space="0"/>
              <w:tl2br w:val="nil"/>
              <w:tr2bl w:val="nil"/>
            </w:tcBorders>
            <w:shd w:val="clear" w:color="auto" w:fill="auto"/>
            <w:vAlign w:val="center"/>
          </w:tcPr>
          <w:p w14:paraId="3BCF946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大堂、客房及公共区域的装修档次与风格。客房内家具、卫浴、床品、智能客控（空调/电视/Wi-Fi）的品质</w:t>
            </w:r>
          </w:p>
        </w:tc>
      </w:tr>
      <w:tr w14:paraId="15111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blHeader/>
          <w:jc w:val="center"/>
        </w:trPr>
        <w:tc>
          <w:tcPr>
            <w:tcW w:w="1178" w:type="dxa"/>
            <w:vMerge w:val="continue"/>
            <w:tcBorders>
              <w:tl2br w:val="nil"/>
              <w:tr2bl w:val="nil"/>
            </w:tcBorders>
            <w:shd w:val="clear" w:color="auto" w:fill="auto"/>
            <w:vAlign w:val="center"/>
          </w:tcPr>
          <w:p w14:paraId="36238202">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6B4A4217">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4668A236">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配套服务设施</w:t>
            </w:r>
          </w:p>
        </w:tc>
        <w:tc>
          <w:tcPr>
            <w:tcW w:w="4770" w:type="dxa"/>
            <w:tcBorders>
              <w:left w:val="single" w:color="auto" w:sz="4" w:space="0"/>
              <w:tl2br w:val="nil"/>
              <w:tr2bl w:val="nil"/>
            </w:tcBorders>
            <w:shd w:val="clear" w:color="auto" w:fill="auto"/>
            <w:vAlign w:val="center"/>
          </w:tcPr>
          <w:p w14:paraId="652DCA2F">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餐饮（餐厅、酒吧）、会议（会议室、宴会厅）、休闲（健身房、泳池、SPA）、商务中心等配套的完备性与品质</w:t>
            </w:r>
          </w:p>
        </w:tc>
      </w:tr>
      <w:tr w14:paraId="524C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blHeader/>
          <w:jc w:val="center"/>
        </w:trPr>
        <w:tc>
          <w:tcPr>
            <w:tcW w:w="1178" w:type="dxa"/>
            <w:vMerge w:val="continue"/>
            <w:tcBorders>
              <w:tl2br w:val="nil"/>
              <w:tr2bl w:val="nil"/>
            </w:tcBorders>
            <w:shd w:val="clear" w:color="auto" w:fill="auto"/>
            <w:vAlign w:val="center"/>
          </w:tcPr>
          <w:p w14:paraId="2FA55587">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5261C6BC">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328932A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停车配套</w:t>
            </w:r>
          </w:p>
        </w:tc>
        <w:tc>
          <w:tcPr>
            <w:tcW w:w="4770" w:type="dxa"/>
            <w:tcBorders>
              <w:left w:val="single" w:color="auto" w:sz="4" w:space="0"/>
              <w:tl2br w:val="nil"/>
              <w:tr2bl w:val="nil"/>
            </w:tcBorders>
            <w:shd w:val="clear" w:color="auto" w:fill="auto"/>
            <w:vAlign w:val="center"/>
          </w:tcPr>
          <w:p w14:paraId="53C99750">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酒店自有或长期租用停车位的数量（车位配比），以及停车场的管理与便利性</w:t>
            </w:r>
          </w:p>
        </w:tc>
      </w:tr>
      <w:tr w14:paraId="32D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2" w:hRule="atLeast"/>
          <w:tblHeader/>
          <w:jc w:val="center"/>
        </w:trPr>
        <w:tc>
          <w:tcPr>
            <w:tcW w:w="1178" w:type="dxa"/>
            <w:vMerge w:val="continue"/>
            <w:tcBorders>
              <w:tl2br w:val="nil"/>
              <w:tr2bl w:val="nil"/>
            </w:tcBorders>
            <w:shd w:val="clear" w:color="auto" w:fill="auto"/>
            <w:vAlign w:val="center"/>
          </w:tcPr>
          <w:p w14:paraId="182EE82D">
            <w:pPr>
              <w:widowControl/>
              <w:spacing w:line="300" w:lineRule="exact"/>
              <w:jc w:val="left"/>
              <w:textAlignment w:val="center"/>
              <w:rPr>
                <w:rFonts w:ascii="Times New Roman" w:hAnsi="Times New Roman" w:eastAsia="方正仿宋_GBK" w:cs="Times New Roman"/>
                <w:kern w:val="0"/>
                <w:szCs w:val="21"/>
              </w:rPr>
            </w:pPr>
          </w:p>
        </w:tc>
        <w:tc>
          <w:tcPr>
            <w:tcW w:w="1157" w:type="dxa"/>
            <w:vMerge w:val="continue"/>
            <w:tcBorders>
              <w:tl2br w:val="nil"/>
              <w:tr2bl w:val="nil"/>
            </w:tcBorders>
            <w:shd w:val="clear" w:color="auto" w:fill="auto"/>
            <w:vAlign w:val="center"/>
          </w:tcPr>
          <w:p w14:paraId="6FF1D486">
            <w:pPr>
              <w:widowControl/>
              <w:spacing w:line="300" w:lineRule="exact"/>
              <w:jc w:val="left"/>
              <w:textAlignment w:val="center"/>
              <w:rPr>
                <w:rFonts w:ascii="Times New Roman" w:hAnsi="Times New Roman" w:eastAsia="方正仿宋_GBK" w:cs="Times New Roman"/>
                <w:kern w:val="0"/>
                <w:szCs w:val="21"/>
              </w:rPr>
            </w:pPr>
          </w:p>
        </w:tc>
        <w:tc>
          <w:tcPr>
            <w:tcW w:w="1694" w:type="dxa"/>
            <w:tcBorders>
              <w:right w:val="single" w:color="auto" w:sz="4" w:space="0"/>
              <w:tl2br w:val="nil"/>
              <w:tr2bl w:val="nil"/>
            </w:tcBorders>
            <w:shd w:val="clear" w:color="auto" w:fill="auto"/>
            <w:vAlign w:val="center"/>
          </w:tcPr>
          <w:p w14:paraId="6DA646E8">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品牌与运营管理</w:t>
            </w:r>
          </w:p>
        </w:tc>
        <w:tc>
          <w:tcPr>
            <w:tcW w:w="4770" w:type="dxa"/>
            <w:tcBorders>
              <w:left w:val="single" w:color="auto" w:sz="4" w:space="0"/>
              <w:tl2br w:val="nil"/>
              <w:tr2bl w:val="nil"/>
            </w:tcBorders>
            <w:shd w:val="clear" w:color="auto" w:fill="auto"/>
            <w:vAlign w:val="center"/>
          </w:tcPr>
          <w:p w14:paraId="5FF14CCF">
            <w:pPr>
              <w:widowControl/>
              <w:spacing w:line="30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在运营的项目，需关注</w:t>
            </w:r>
            <w:r>
              <w:rPr>
                <w:rFonts w:ascii="Times New Roman" w:hAnsi="Times New Roman" w:eastAsia="方正仿宋_GBK" w:cs="Times New Roman"/>
                <w:kern w:val="0"/>
                <w:szCs w:val="21"/>
              </w:rPr>
              <w:t>是否为国际或国内知名连锁品牌，委托了专业酒店管理公司，及其带来的客源输送、会员体系、运营标准和品牌溢价</w:t>
            </w:r>
          </w:p>
        </w:tc>
      </w:tr>
    </w:tbl>
    <w:p w14:paraId="5E3BA223">
      <w:pPr>
        <w:widowControl/>
        <w:jc w:val="left"/>
        <w:textAlignment w:val="center"/>
        <w:rPr>
          <w:rFonts w:ascii="Times New Roman" w:hAnsi="Times New Roman" w:eastAsia="黑体" w:cs="Times New Roman"/>
          <w:sz w:val="32"/>
          <w:szCs w:val="40"/>
        </w:rPr>
      </w:pPr>
      <w:r>
        <w:rPr>
          <w:rFonts w:ascii="Times New Roman" w:hAnsi="Times New Roman" w:eastAsia="方正仿宋_GBK" w:cs="Times New Roman"/>
          <w:szCs w:val="21"/>
        </w:rPr>
        <w:t>注：旅馆用途租金评估，需关注《旅游饭店星级的划分与评定》（GB/T 14308-2023）、《旅游民宿基本要求与等级划分》（GB/T 41648-2022）及其实施工作导则。</w:t>
      </w:r>
    </w:p>
    <w:p w14:paraId="72C82A3D">
      <w:pPr>
        <w:spacing w:line="560" w:lineRule="exact"/>
        <w:jc w:val="center"/>
        <w:rPr>
          <w:rFonts w:ascii="Times New Roman" w:hAnsi="Times New Roman" w:eastAsia="黑体" w:cs="Times New Roman"/>
          <w:sz w:val="32"/>
          <w:szCs w:val="40"/>
        </w:rPr>
        <w:sectPr>
          <w:pgSz w:w="11906" w:h="16838"/>
          <w:pgMar w:top="1440" w:right="1800" w:bottom="1440" w:left="1800" w:header="851" w:footer="992" w:gutter="0"/>
          <w:cols w:space="425" w:num="1"/>
          <w:docGrid w:type="lines" w:linePitch="312" w:charSpace="0"/>
        </w:sectPr>
      </w:pPr>
    </w:p>
    <w:p w14:paraId="50D30BF0">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表6  工业（仓储）类租金影响因素因子说明表</w:t>
      </w:r>
    </w:p>
    <w:tbl>
      <w:tblPr>
        <w:tblStyle w:val="9"/>
        <w:tblW w:w="89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85"/>
        <w:gridCol w:w="1258"/>
        <w:gridCol w:w="1695"/>
        <w:gridCol w:w="4820"/>
      </w:tblGrid>
      <w:tr w14:paraId="0BD6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blHeader/>
          <w:jc w:val="center"/>
        </w:trPr>
        <w:tc>
          <w:tcPr>
            <w:tcW w:w="1185" w:type="dxa"/>
            <w:tcBorders>
              <w:tl2br w:val="nil"/>
              <w:tr2bl w:val="nil"/>
            </w:tcBorders>
            <w:shd w:val="clear" w:color="auto" w:fill="auto"/>
            <w:vAlign w:val="center"/>
          </w:tcPr>
          <w:p w14:paraId="4E1D3467">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258" w:type="dxa"/>
            <w:tcBorders>
              <w:tl2br w:val="nil"/>
              <w:tr2bl w:val="nil"/>
            </w:tcBorders>
            <w:shd w:val="clear" w:color="auto" w:fill="auto"/>
            <w:vAlign w:val="center"/>
          </w:tcPr>
          <w:p w14:paraId="43289013">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695" w:type="dxa"/>
            <w:tcBorders>
              <w:right w:val="single" w:color="auto" w:sz="4" w:space="0"/>
              <w:tl2br w:val="nil"/>
              <w:tr2bl w:val="nil"/>
            </w:tcBorders>
            <w:shd w:val="clear" w:color="auto" w:fill="auto"/>
            <w:vAlign w:val="center"/>
          </w:tcPr>
          <w:p w14:paraId="0A9D89F8">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820" w:type="dxa"/>
            <w:tcBorders>
              <w:left w:val="single" w:color="auto" w:sz="4" w:space="0"/>
              <w:tl2br w:val="nil"/>
              <w:tr2bl w:val="nil"/>
            </w:tcBorders>
            <w:shd w:val="clear" w:color="auto" w:fill="auto"/>
            <w:vAlign w:val="center"/>
          </w:tcPr>
          <w:p w14:paraId="6611910B">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4129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185" w:type="dxa"/>
            <w:vMerge w:val="restart"/>
            <w:tcBorders>
              <w:tl2br w:val="nil"/>
              <w:tr2bl w:val="nil"/>
            </w:tcBorders>
            <w:shd w:val="clear" w:color="auto" w:fill="auto"/>
            <w:vAlign w:val="center"/>
          </w:tcPr>
          <w:p w14:paraId="4EA74117">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区位状况（外部经济与地理特性）</w:t>
            </w:r>
          </w:p>
        </w:tc>
        <w:tc>
          <w:tcPr>
            <w:tcW w:w="1258" w:type="dxa"/>
            <w:vMerge w:val="restart"/>
            <w:tcBorders>
              <w:tl2br w:val="nil"/>
              <w:tr2bl w:val="nil"/>
            </w:tcBorders>
            <w:shd w:val="clear" w:color="auto" w:fill="auto"/>
            <w:vAlign w:val="center"/>
          </w:tcPr>
          <w:p w14:paraId="4F1366DA">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参考区域产业规划与物流枢纽布局，评估物业所处地理位置对企业运营成本与效率的综合影响；以所在土地级别或园区、街镇为主要分析</w:t>
            </w:r>
            <w:r>
              <w:rPr>
                <w:rFonts w:hint="eastAsia" w:ascii="Times New Roman" w:hAnsi="Times New Roman" w:eastAsia="方正仿宋_GBK" w:cs="Times New Roman"/>
                <w:kern w:val="0"/>
                <w:szCs w:val="21"/>
              </w:rPr>
              <w:t>范围</w:t>
            </w:r>
          </w:p>
        </w:tc>
        <w:tc>
          <w:tcPr>
            <w:tcW w:w="1695" w:type="dxa"/>
            <w:tcBorders>
              <w:right w:val="single" w:color="auto" w:sz="4" w:space="0"/>
              <w:tl2br w:val="nil"/>
              <w:tr2bl w:val="nil"/>
            </w:tcBorders>
            <w:shd w:val="clear" w:color="auto" w:fill="auto"/>
            <w:vAlign w:val="center"/>
          </w:tcPr>
          <w:p w14:paraId="3B09CD8B">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区域基础设施</w:t>
            </w:r>
          </w:p>
        </w:tc>
        <w:tc>
          <w:tcPr>
            <w:tcW w:w="4820" w:type="dxa"/>
            <w:tcBorders>
              <w:left w:val="single" w:color="auto" w:sz="4" w:space="0"/>
              <w:tl2br w:val="nil"/>
              <w:tr2bl w:val="nil"/>
            </w:tcBorders>
            <w:shd w:val="clear" w:color="auto" w:fill="auto"/>
            <w:vAlign w:val="center"/>
          </w:tcPr>
          <w:p w14:paraId="4B0CD411">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区域电网的稳定性、供水的保障程度，频繁的停电、停水将对工业生产造成</w:t>
            </w:r>
            <w:r>
              <w:rPr>
                <w:rFonts w:hint="eastAsia" w:ascii="Times New Roman" w:hAnsi="Times New Roman" w:eastAsia="方正仿宋_GBK" w:cs="Times New Roman"/>
                <w:kern w:val="0"/>
                <w:szCs w:val="21"/>
              </w:rPr>
              <w:t>停产</w:t>
            </w:r>
            <w:r>
              <w:rPr>
                <w:rFonts w:ascii="Times New Roman" w:hAnsi="Times New Roman" w:eastAsia="方正仿宋_GBK" w:cs="Times New Roman"/>
                <w:kern w:val="0"/>
                <w:szCs w:val="21"/>
              </w:rPr>
              <w:t>影响；区域地质条件、洪涝风险等，直接影响保险费用和运营安全</w:t>
            </w:r>
          </w:p>
        </w:tc>
      </w:tr>
      <w:tr w14:paraId="6DA1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6" w:hRule="atLeast"/>
          <w:tblHeader/>
          <w:jc w:val="center"/>
        </w:trPr>
        <w:tc>
          <w:tcPr>
            <w:tcW w:w="1185" w:type="dxa"/>
            <w:vMerge w:val="continue"/>
            <w:tcBorders>
              <w:tl2br w:val="nil"/>
              <w:tr2bl w:val="nil"/>
            </w:tcBorders>
            <w:shd w:val="clear" w:color="auto" w:fill="auto"/>
            <w:vAlign w:val="center"/>
          </w:tcPr>
          <w:p w14:paraId="23BAC838">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3D9471D3">
            <w:pPr>
              <w:widowControl/>
              <w:spacing w:line="300" w:lineRule="exact"/>
              <w:jc w:val="center"/>
              <w:textAlignment w:val="center"/>
              <w:rPr>
                <w:rFonts w:ascii="Times New Roman" w:hAnsi="Times New Roman" w:eastAsia="方正仿宋_GBK" w:cs="Times New Roman"/>
                <w:kern w:val="0"/>
                <w:szCs w:val="21"/>
              </w:rPr>
            </w:pPr>
          </w:p>
        </w:tc>
        <w:tc>
          <w:tcPr>
            <w:tcW w:w="1695" w:type="dxa"/>
            <w:tcBorders>
              <w:right w:val="single" w:color="auto" w:sz="4" w:space="0"/>
              <w:tl2br w:val="nil"/>
              <w:tr2bl w:val="nil"/>
            </w:tcBorders>
            <w:shd w:val="clear" w:color="auto" w:fill="auto"/>
            <w:vAlign w:val="center"/>
          </w:tcPr>
          <w:p w14:paraId="543FA093">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交通条件</w:t>
            </w:r>
          </w:p>
        </w:tc>
        <w:tc>
          <w:tcPr>
            <w:tcW w:w="4820" w:type="dxa"/>
            <w:tcBorders>
              <w:left w:val="single" w:color="auto" w:sz="4" w:space="0"/>
              <w:tl2br w:val="nil"/>
              <w:tr2bl w:val="nil"/>
            </w:tcBorders>
            <w:shd w:val="clear" w:color="auto" w:fill="auto"/>
            <w:vAlign w:val="center"/>
          </w:tcPr>
          <w:p w14:paraId="5F4DB296">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道路网络：至高速公路出入口、国道、城市主干道的距离与便捷度是核心考量；多式联运：邻近港口、机场、铁路货运站并能有效衔接，对物流、贸易类企业租金提升显著</w:t>
            </w:r>
          </w:p>
        </w:tc>
      </w:tr>
      <w:tr w14:paraId="6E84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185" w:type="dxa"/>
            <w:vMerge w:val="continue"/>
            <w:tcBorders>
              <w:tl2br w:val="nil"/>
              <w:tr2bl w:val="nil"/>
            </w:tcBorders>
            <w:shd w:val="clear" w:color="auto" w:fill="auto"/>
            <w:vAlign w:val="center"/>
          </w:tcPr>
          <w:p w14:paraId="12D62C71">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130DB6EA">
            <w:pPr>
              <w:widowControl/>
              <w:spacing w:line="300" w:lineRule="exact"/>
              <w:jc w:val="center"/>
              <w:textAlignment w:val="center"/>
              <w:rPr>
                <w:rFonts w:ascii="Times New Roman" w:hAnsi="Times New Roman" w:eastAsia="方正仿宋_GBK" w:cs="Times New Roman"/>
                <w:kern w:val="0"/>
                <w:szCs w:val="21"/>
              </w:rPr>
            </w:pPr>
          </w:p>
        </w:tc>
        <w:tc>
          <w:tcPr>
            <w:tcW w:w="1695" w:type="dxa"/>
            <w:tcBorders>
              <w:right w:val="single" w:color="auto" w:sz="4" w:space="0"/>
              <w:tl2br w:val="nil"/>
              <w:tr2bl w:val="nil"/>
            </w:tcBorders>
            <w:shd w:val="clear" w:color="auto" w:fill="auto"/>
            <w:vAlign w:val="center"/>
          </w:tcPr>
          <w:p w14:paraId="23F0CBBB">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产业集聚度</w:t>
            </w:r>
          </w:p>
        </w:tc>
        <w:tc>
          <w:tcPr>
            <w:tcW w:w="4820" w:type="dxa"/>
            <w:tcBorders>
              <w:left w:val="single" w:color="auto" w:sz="4" w:space="0"/>
              <w:tl2br w:val="nil"/>
              <w:tr2bl w:val="nil"/>
            </w:tcBorders>
            <w:shd w:val="clear" w:color="auto" w:fill="auto"/>
            <w:vAlign w:val="center"/>
          </w:tcPr>
          <w:p w14:paraId="43322190">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位于核心工业园区、物流枢纽或特定产业集聚区（如汽车产业园、高科技园区）内，能享受供应链协同效应，租金溢价能力高</w:t>
            </w:r>
          </w:p>
        </w:tc>
      </w:tr>
      <w:tr w14:paraId="3626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blHeader/>
          <w:jc w:val="center"/>
        </w:trPr>
        <w:tc>
          <w:tcPr>
            <w:tcW w:w="1185" w:type="dxa"/>
            <w:vMerge w:val="continue"/>
            <w:tcBorders>
              <w:tl2br w:val="nil"/>
              <w:tr2bl w:val="nil"/>
            </w:tcBorders>
            <w:shd w:val="clear" w:color="auto" w:fill="auto"/>
            <w:vAlign w:val="center"/>
          </w:tcPr>
          <w:p w14:paraId="1BF94C75">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61C81851">
            <w:pPr>
              <w:widowControl/>
              <w:spacing w:line="300" w:lineRule="exact"/>
              <w:jc w:val="center"/>
              <w:textAlignment w:val="center"/>
              <w:rPr>
                <w:rFonts w:ascii="Times New Roman" w:hAnsi="Times New Roman" w:eastAsia="方正仿宋_GBK" w:cs="Times New Roman"/>
                <w:kern w:val="0"/>
                <w:szCs w:val="21"/>
              </w:rPr>
            </w:pPr>
          </w:p>
        </w:tc>
        <w:tc>
          <w:tcPr>
            <w:tcW w:w="1695" w:type="dxa"/>
            <w:tcBorders>
              <w:right w:val="single" w:color="auto" w:sz="4" w:space="0"/>
              <w:tl2br w:val="nil"/>
              <w:tr2bl w:val="nil"/>
            </w:tcBorders>
            <w:shd w:val="clear" w:color="auto" w:fill="auto"/>
            <w:vAlign w:val="center"/>
          </w:tcPr>
          <w:p w14:paraId="2E34A82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劳动力市场</w:t>
            </w:r>
          </w:p>
        </w:tc>
        <w:tc>
          <w:tcPr>
            <w:tcW w:w="4820" w:type="dxa"/>
            <w:tcBorders>
              <w:left w:val="single" w:color="auto" w:sz="4" w:space="0"/>
              <w:tl2br w:val="nil"/>
              <w:tr2bl w:val="nil"/>
            </w:tcBorders>
            <w:shd w:val="clear" w:color="auto" w:fill="auto"/>
            <w:vAlign w:val="center"/>
          </w:tcPr>
          <w:p w14:paraId="2194717C">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周边劳动力资源的充足性、技能匹配度与成本；高科技研发楼注重高学历人才供给，普通厂房关注普通劳动力密集度</w:t>
            </w:r>
          </w:p>
        </w:tc>
      </w:tr>
      <w:tr w14:paraId="595C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6" w:hRule="atLeast"/>
          <w:tblHeader/>
          <w:jc w:val="center"/>
        </w:trPr>
        <w:tc>
          <w:tcPr>
            <w:tcW w:w="1185" w:type="dxa"/>
            <w:vMerge w:val="continue"/>
            <w:tcBorders>
              <w:tl2br w:val="nil"/>
              <w:tr2bl w:val="nil"/>
            </w:tcBorders>
            <w:shd w:val="clear" w:color="auto" w:fill="auto"/>
            <w:vAlign w:val="center"/>
          </w:tcPr>
          <w:p w14:paraId="4F1C5063">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6FB6F07D">
            <w:pPr>
              <w:widowControl/>
              <w:spacing w:line="300" w:lineRule="exact"/>
              <w:jc w:val="center"/>
              <w:textAlignment w:val="center"/>
              <w:rPr>
                <w:rFonts w:ascii="Times New Roman" w:hAnsi="Times New Roman" w:eastAsia="方正仿宋_GBK" w:cs="Times New Roman"/>
                <w:kern w:val="0"/>
                <w:szCs w:val="21"/>
              </w:rPr>
            </w:pPr>
          </w:p>
        </w:tc>
        <w:tc>
          <w:tcPr>
            <w:tcW w:w="1695" w:type="dxa"/>
            <w:tcBorders>
              <w:right w:val="single" w:color="auto" w:sz="4" w:space="0"/>
              <w:tl2br w:val="nil"/>
              <w:tr2bl w:val="nil"/>
            </w:tcBorders>
            <w:shd w:val="clear" w:color="auto" w:fill="auto"/>
            <w:vAlign w:val="center"/>
          </w:tcPr>
          <w:p w14:paraId="7CE3D93C">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区域政策导向</w:t>
            </w:r>
          </w:p>
        </w:tc>
        <w:tc>
          <w:tcPr>
            <w:tcW w:w="4820" w:type="dxa"/>
            <w:tcBorders>
              <w:left w:val="single" w:color="auto" w:sz="4" w:space="0"/>
              <w:tl2br w:val="nil"/>
              <w:tr2bl w:val="nil"/>
            </w:tcBorders>
            <w:shd w:val="clear" w:color="auto" w:fill="auto"/>
            <w:vAlign w:val="center"/>
          </w:tcPr>
          <w:p w14:paraId="659DEF8E">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招商与政务服务：“一站式”服务效率、税收优惠/返还政策、监管环境的透明度和稳定性；环保与安全监管：明确的环保标准和安全监管要求，虽然构成约束，但也提供了稳定的运营预期</w:t>
            </w:r>
          </w:p>
        </w:tc>
      </w:tr>
      <w:tr w14:paraId="4F212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6" w:hRule="atLeast"/>
          <w:tblHeader/>
          <w:jc w:val="center"/>
        </w:trPr>
        <w:tc>
          <w:tcPr>
            <w:tcW w:w="1185" w:type="dxa"/>
            <w:vMerge w:val="restart"/>
            <w:tcBorders>
              <w:tl2br w:val="nil"/>
              <w:tr2bl w:val="nil"/>
            </w:tcBorders>
            <w:shd w:val="clear" w:color="auto" w:fill="auto"/>
            <w:vAlign w:val="center"/>
          </w:tcPr>
          <w:p w14:paraId="72602C8E">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实物状况（建筑与管理特征）</w:t>
            </w:r>
          </w:p>
        </w:tc>
        <w:tc>
          <w:tcPr>
            <w:tcW w:w="1258" w:type="dxa"/>
            <w:vMerge w:val="restart"/>
            <w:tcBorders>
              <w:tl2br w:val="nil"/>
              <w:tr2bl w:val="nil"/>
            </w:tcBorders>
            <w:shd w:val="clear" w:color="auto" w:fill="auto"/>
            <w:vAlign w:val="center"/>
          </w:tcPr>
          <w:p w14:paraId="4165A9FE">
            <w:pPr>
              <w:widowControl/>
              <w:spacing w:line="300" w:lineRule="exact"/>
              <w:jc w:val="left"/>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从工业生产的物理属性与工艺要求出发，评估建筑空间、结构与配套设施满足生产、仓储或研发需求的能力</w:t>
            </w:r>
          </w:p>
        </w:tc>
        <w:tc>
          <w:tcPr>
            <w:tcW w:w="1695" w:type="dxa"/>
            <w:tcBorders>
              <w:right w:val="single" w:color="auto" w:sz="4" w:space="0"/>
              <w:tl2br w:val="nil"/>
              <w:tr2bl w:val="nil"/>
            </w:tcBorders>
            <w:shd w:val="clear" w:color="auto" w:fill="auto"/>
            <w:vAlign w:val="center"/>
          </w:tcPr>
          <w:p w14:paraId="7D70A365">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厂区基础设施</w:t>
            </w:r>
          </w:p>
        </w:tc>
        <w:tc>
          <w:tcPr>
            <w:tcW w:w="4820" w:type="dxa"/>
            <w:tcBorders>
              <w:left w:val="single" w:color="auto" w:sz="4" w:space="0"/>
              <w:tl2br w:val="nil"/>
              <w:tr2bl w:val="nil"/>
            </w:tcBorders>
            <w:shd w:val="clear" w:color="auto" w:fill="auto"/>
            <w:vAlign w:val="center"/>
          </w:tcPr>
          <w:p w14:paraId="19E09F62">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电力容量：是否双回路供电、总容量（KVA）能否满足生产需求，高耗能企业对此极度敏感；排水与环保：特殊的给排水、排污、废气处理设施及环评许可</w:t>
            </w:r>
          </w:p>
        </w:tc>
      </w:tr>
      <w:tr w14:paraId="03281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0" w:hRule="atLeast"/>
          <w:tblHeader/>
          <w:jc w:val="center"/>
        </w:trPr>
        <w:tc>
          <w:tcPr>
            <w:tcW w:w="1185" w:type="dxa"/>
            <w:vMerge w:val="continue"/>
            <w:tcBorders>
              <w:tl2br w:val="nil"/>
              <w:tr2bl w:val="nil"/>
            </w:tcBorders>
            <w:shd w:val="clear" w:color="auto" w:fill="auto"/>
            <w:vAlign w:val="center"/>
          </w:tcPr>
          <w:p w14:paraId="5FC84C65">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7C6CBE0A">
            <w:pPr>
              <w:widowControl/>
              <w:spacing w:line="300" w:lineRule="exact"/>
              <w:jc w:val="center"/>
              <w:textAlignment w:val="center"/>
              <w:rPr>
                <w:rFonts w:ascii="Times New Roman" w:hAnsi="Times New Roman" w:eastAsia="Segoe UI" w:cs="Times New Roman"/>
                <w:color w:val="0F1115"/>
                <w:sz w:val="22"/>
                <w:szCs w:val="22"/>
                <w:shd w:val="clear" w:color="auto" w:fill="FFFFFF"/>
              </w:rPr>
            </w:pPr>
          </w:p>
        </w:tc>
        <w:tc>
          <w:tcPr>
            <w:tcW w:w="1695" w:type="dxa"/>
            <w:tcBorders>
              <w:right w:val="single" w:color="auto" w:sz="4" w:space="0"/>
              <w:tl2br w:val="nil"/>
              <w:tr2bl w:val="nil"/>
            </w:tcBorders>
            <w:shd w:val="clear" w:color="auto" w:fill="auto"/>
            <w:vAlign w:val="center"/>
          </w:tcPr>
          <w:p w14:paraId="45C5BCC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建筑规格</w:t>
            </w:r>
          </w:p>
        </w:tc>
        <w:tc>
          <w:tcPr>
            <w:tcW w:w="4820" w:type="dxa"/>
            <w:tcBorders>
              <w:left w:val="single" w:color="auto" w:sz="4" w:space="0"/>
              <w:tl2br w:val="nil"/>
              <w:tr2bl w:val="nil"/>
            </w:tcBorders>
            <w:shd w:val="clear" w:color="auto" w:fill="auto"/>
            <w:vAlign w:val="center"/>
          </w:tcPr>
          <w:p w14:paraId="10492F60">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层高与净高：现代高标准仓库要求净高9米以上，便于搭建货架，是提升存储效率的关键；承重能力：楼面/地面荷载满足重型设备与高密度仓储需求；柱网间距：大柱距（如12x24米以上）减少空间干扰，提升空间利用率和自动化设备运行效率</w:t>
            </w:r>
          </w:p>
        </w:tc>
      </w:tr>
      <w:tr w14:paraId="284F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6" w:hRule="atLeast"/>
          <w:tblHeader/>
          <w:jc w:val="center"/>
        </w:trPr>
        <w:tc>
          <w:tcPr>
            <w:tcW w:w="1185" w:type="dxa"/>
            <w:vMerge w:val="continue"/>
            <w:tcBorders>
              <w:tl2br w:val="nil"/>
              <w:tr2bl w:val="nil"/>
            </w:tcBorders>
            <w:shd w:val="clear" w:color="auto" w:fill="auto"/>
            <w:vAlign w:val="center"/>
          </w:tcPr>
          <w:p w14:paraId="2D148CAC">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7BD6462D">
            <w:pPr>
              <w:widowControl/>
              <w:spacing w:line="300" w:lineRule="exact"/>
              <w:jc w:val="center"/>
              <w:textAlignment w:val="center"/>
              <w:rPr>
                <w:rFonts w:ascii="Times New Roman" w:hAnsi="Times New Roman" w:eastAsia="Segoe UI" w:cs="Times New Roman"/>
                <w:color w:val="0F1115"/>
                <w:sz w:val="22"/>
                <w:szCs w:val="22"/>
                <w:shd w:val="clear" w:color="auto" w:fill="FFFFFF"/>
              </w:rPr>
            </w:pPr>
          </w:p>
        </w:tc>
        <w:tc>
          <w:tcPr>
            <w:tcW w:w="1695" w:type="dxa"/>
            <w:tcBorders>
              <w:right w:val="single" w:color="auto" w:sz="4" w:space="0"/>
              <w:tl2br w:val="nil"/>
              <w:tr2bl w:val="nil"/>
            </w:tcBorders>
            <w:shd w:val="clear" w:color="auto" w:fill="auto"/>
            <w:vAlign w:val="center"/>
          </w:tcPr>
          <w:p w14:paraId="4012984F">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配套设施</w:t>
            </w:r>
          </w:p>
        </w:tc>
        <w:tc>
          <w:tcPr>
            <w:tcW w:w="4820" w:type="dxa"/>
            <w:tcBorders>
              <w:left w:val="single" w:color="auto" w:sz="4" w:space="0"/>
              <w:tl2br w:val="nil"/>
              <w:tr2bl w:val="nil"/>
            </w:tcBorders>
            <w:shd w:val="clear" w:color="auto" w:fill="auto"/>
            <w:vAlign w:val="center"/>
          </w:tcPr>
          <w:p w14:paraId="150327A5">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装卸设施：装卸平台数量、高度调节板、货车转弯半径直接影响物流效率；办公与生活配套：独立办公区、员工宿舍、食堂的配置与品质，对管理型和研发型企业尤为重要</w:t>
            </w:r>
          </w:p>
        </w:tc>
      </w:tr>
      <w:tr w14:paraId="08D9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86" w:hRule="atLeast"/>
          <w:tblHeader/>
          <w:jc w:val="center"/>
        </w:trPr>
        <w:tc>
          <w:tcPr>
            <w:tcW w:w="1185" w:type="dxa"/>
            <w:vMerge w:val="continue"/>
            <w:tcBorders>
              <w:tl2br w:val="nil"/>
              <w:tr2bl w:val="nil"/>
            </w:tcBorders>
            <w:shd w:val="clear" w:color="auto" w:fill="auto"/>
            <w:vAlign w:val="center"/>
          </w:tcPr>
          <w:p w14:paraId="714ABD89">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4874D81B">
            <w:pPr>
              <w:widowControl/>
              <w:spacing w:line="300" w:lineRule="exact"/>
              <w:jc w:val="center"/>
              <w:textAlignment w:val="center"/>
              <w:rPr>
                <w:rFonts w:ascii="Times New Roman" w:hAnsi="Times New Roman" w:eastAsia="Segoe UI" w:cs="Times New Roman"/>
                <w:color w:val="0F1115"/>
                <w:sz w:val="22"/>
                <w:szCs w:val="22"/>
                <w:shd w:val="clear" w:color="auto" w:fill="FFFFFF"/>
              </w:rPr>
            </w:pPr>
          </w:p>
        </w:tc>
        <w:tc>
          <w:tcPr>
            <w:tcW w:w="1695" w:type="dxa"/>
            <w:tcBorders>
              <w:right w:val="single" w:color="auto" w:sz="4" w:space="0"/>
              <w:tl2br w:val="nil"/>
              <w:tr2bl w:val="nil"/>
            </w:tcBorders>
            <w:shd w:val="clear" w:color="auto" w:fill="auto"/>
            <w:vAlign w:val="center"/>
          </w:tcPr>
          <w:p w14:paraId="381A1BE1">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绿色与智能化</w:t>
            </w:r>
          </w:p>
        </w:tc>
        <w:tc>
          <w:tcPr>
            <w:tcW w:w="4820" w:type="dxa"/>
            <w:tcBorders>
              <w:left w:val="single" w:color="auto" w:sz="4" w:space="0"/>
              <w:tl2br w:val="nil"/>
              <w:tr2bl w:val="nil"/>
            </w:tcBorders>
            <w:shd w:val="clear" w:color="auto" w:fill="auto"/>
            <w:vAlign w:val="center"/>
          </w:tcPr>
          <w:p w14:paraId="78A1C920">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绿色建筑认证：如LEED、绿色工业建筑标识等，有助于降低企业长期运营成本，提升企业形象；智能化水平：预置物联网接口、智能安防、能源管理系统等，满足现代智慧工厂/仓库需求</w:t>
            </w:r>
          </w:p>
        </w:tc>
      </w:tr>
      <w:tr w14:paraId="4E8F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tblHeader/>
          <w:jc w:val="center"/>
        </w:trPr>
        <w:tc>
          <w:tcPr>
            <w:tcW w:w="1185" w:type="dxa"/>
            <w:vMerge w:val="continue"/>
            <w:tcBorders>
              <w:tl2br w:val="nil"/>
              <w:tr2bl w:val="nil"/>
            </w:tcBorders>
            <w:shd w:val="clear" w:color="auto" w:fill="auto"/>
            <w:vAlign w:val="center"/>
          </w:tcPr>
          <w:p w14:paraId="265340FF">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72BF0AA9">
            <w:pPr>
              <w:widowControl/>
              <w:spacing w:line="300" w:lineRule="exact"/>
              <w:jc w:val="center"/>
              <w:textAlignment w:val="center"/>
              <w:rPr>
                <w:rFonts w:ascii="Times New Roman" w:hAnsi="Times New Roman" w:eastAsia="Segoe UI" w:cs="Times New Roman"/>
                <w:color w:val="0F1115"/>
                <w:sz w:val="22"/>
                <w:szCs w:val="22"/>
                <w:shd w:val="clear" w:color="auto" w:fill="FFFFFF"/>
              </w:rPr>
            </w:pPr>
          </w:p>
        </w:tc>
        <w:tc>
          <w:tcPr>
            <w:tcW w:w="1695" w:type="dxa"/>
            <w:tcBorders>
              <w:right w:val="single" w:color="auto" w:sz="4" w:space="0"/>
              <w:tl2br w:val="nil"/>
              <w:tr2bl w:val="nil"/>
            </w:tcBorders>
            <w:shd w:val="clear" w:color="auto" w:fill="auto"/>
            <w:vAlign w:val="center"/>
          </w:tcPr>
          <w:p w14:paraId="355F618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消防与环保</w:t>
            </w:r>
          </w:p>
        </w:tc>
        <w:tc>
          <w:tcPr>
            <w:tcW w:w="4820" w:type="dxa"/>
            <w:tcBorders>
              <w:left w:val="single" w:color="auto" w:sz="4" w:space="0"/>
              <w:tl2br w:val="nil"/>
              <w:tr2bl w:val="nil"/>
            </w:tcBorders>
            <w:shd w:val="clear" w:color="auto" w:fill="auto"/>
            <w:vAlign w:val="center"/>
          </w:tcPr>
          <w:p w14:paraId="2C6BE363">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消防等级与企业的生产存储内容匹配；符合最新的环保法规要求，无历史遗留环保问题</w:t>
            </w:r>
          </w:p>
        </w:tc>
      </w:tr>
      <w:tr w14:paraId="3251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3" w:hRule="atLeast"/>
          <w:tblHeader/>
          <w:jc w:val="center"/>
        </w:trPr>
        <w:tc>
          <w:tcPr>
            <w:tcW w:w="1185" w:type="dxa"/>
            <w:vMerge w:val="continue"/>
            <w:tcBorders>
              <w:tl2br w:val="nil"/>
              <w:tr2bl w:val="nil"/>
            </w:tcBorders>
            <w:shd w:val="clear" w:color="auto" w:fill="auto"/>
            <w:vAlign w:val="center"/>
          </w:tcPr>
          <w:p w14:paraId="5C774D5C">
            <w:pPr>
              <w:widowControl/>
              <w:spacing w:line="300" w:lineRule="exact"/>
              <w:jc w:val="center"/>
              <w:textAlignment w:val="center"/>
              <w:rPr>
                <w:rFonts w:ascii="Times New Roman" w:hAnsi="Times New Roman" w:eastAsia="方正仿宋_GBK" w:cs="Times New Roman"/>
                <w:kern w:val="0"/>
                <w:szCs w:val="21"/>
              </w:rPr>
            </w:pPr>
          </w:p>
        </w:tc>
        <w:tc>
          <w:tcPr>
            <w:tcW w:w="1258" w:type="dxa"/>
            <w:vMerge w:val="continue"/>
            <w:tcBorders>
              <w:tl2br w:val="nil"/>
              <w:tr2bl w:val="nil"/>
            </w:tcBorders>
            <w:shd w:val="clear" w:color="auto" w:fill="auto"/>
            <w:vAlign w:val="center"/>
          </w:tcPr>
          <w:p w14:paraId="3CD5ABD2">
            <w:pPr>
              <w:widowControl/>
              <w:spacing w:line="300" w:lineRule="exact"/>
              <w:jc w:val="center"/>
              <w:textAlignment w:val="center"/>
              <w:rPr>
                <w:rFonts w:ascii="Times New Roman" w:hAnsi="Times New Roman" w:eastAsia="Segoe UI" w:cs="Times New Roman"/>
                <w:color w:val="0F1115"/>
                <w:sz w:val="22"/>
                <w:szCs w:val="22"/>
                <w:shd w:val="clear" w:color="auto" w:fill="FFFFFF"/>
              </w:rPr>
            </w:pPr>
          </w:p>
        </w:tc>
        <w:tc>
          <w:tcPr>
            <w:tcW w:w="1695" w:type="dxa"/>
            <w:tcBorders>
              <w:right w:val="single" w:color="auto" w:sz="4" w:space="0"/>
              <w:tl2br w:val="nil"/>
              <w:tr2bl w:val="nil"/>
            </w:tcBorders>
            <w:shd w:val="clear" w:color="auto" w:fill="auto"/>
            <w:vAlign w:val="center"/>
          </w:tcPr>
          <w:p w14:paraId="7240391A">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物业管理</w:t>
            </w:r>
          </w:p>
        </w:tc>
        <w:tc>
          <w:tcPr>
            <w:tcW w:w="4820" w:type="dxa"/>
            <w:tcBorders>
              <w:left w:val="single" w:color="auto" w:sz="4" w:space="0"/>
              <w:tl2br w:val="nil"/>
              <w:tr2bl w:val="nil"/>
            </w:tcBorders>
            <w:shd w:val="clear" w:color="auto" w:fill="auto"/>
            <w:vAlign w:val="center"/>
          </w:tcPr>
          <w:p w14:paraId="19929EB5">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园区道路、安保、保洁的水平。信誉高的品牌工业地产开发商或专业机构统一管理，提供标准化、规范化服务，租金通常更高</w:t>
            </w:r>
          </w:p>
        </w:tc>
      </w:tr>
    </w:tbl>
    <w:p w14:paraId="552E5069">
      <w:pPr>
        <w:spacing w:line="56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表7  停车场（位）租金影响因素因子说明表</w:t>
      </w:r>
    </w:p>
    <w:tbl>
      <w:tblPr>
        <w:tblStyle w:val="9"/>
        <w:tblW w:w="89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9"/>
        <w:gridCol w:w="1252"/>
        <w:gridCol w:w="1735"/>
        <w:gridCol w:w="4752"/>
      </w:tblGrid>
      <w:tr w14:paraId="7A54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tblHeader/>
          <w:jc w:val="center"/>
        </w:trPr>
        <w:tc>
          <w:tcPr>
            <w:tcW w:w="1179" w:type="dxa"/>
            <w:tcBorders>
              <w:tl2br w:val="nil"/>
              <w:tr2bl w:val="nil"/>
            </w:tcBorders>
            <w:shd w:val="clear" w:color="auto" w:fill="auto"/>
            <w:vAlign w:val="center"/>
          </w:tcPr>
          <w:p w14:paraId="37A7ECF4">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因素类别</w:t>
            </w:r>
          </w:p>
        </w:tc>
        <w:tc>
          <w:tcPr>
            <w:tcW w:w="1252" w:type="dxa"/>
            <w:tcBorders>
              <w:tl2br w:val="nil"/>
              <w:tr2bl w:val="nil"/>
            </w:tcBorders>
            <w:shd w:val="clear" w:color="auto" w:fill="auto"/>
            <w:vAlign w:val="center"/>
          </w:tcPr>
          <w:p w14:paraId="493E570D">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因素说明</w:t>
            </w:r>
          </w:p>
        </w:tc>
        <w:tc>
          <w:tcPr>
            <w:tcW w:w="1735" w:type="dxa"/>
            <w:tcBorders>
              <w:right w:val="single" w:color="auto" w:sz="4" w:space="0"/>
              <w:tl2br w:val="nil"/>
              <w:tr2bl w:val="nil"/>
            </w:tcBorders>
            <w:shd w:val="clear" w:color="auto" w:fill="auto"/>
            <w:vAlign w:val="center"/>
          </w:tcPr>
          <w:p w14:paraId="28106929">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影响因子</w:t>
            </w:r>
          </w:p>
        </w:tc>
        <w:tc>
          <w:tcPr>
            <w:tcW w:w="4752" w:type="dxa"/>
            <w:tcBorders>
              <w:left w:val="single" w:color="auto" w:sz="4" w:space="0"/>
              <w:tl2br w:val="nil"/>
              <w:tr2bl w:val="nil"/>
            </w:tcBorders>
            <w:shd w:val="clear" w:color="auto" w:fill="auto"/>
            <w:vAlign w:val="center"/>
          </w:tcPr>
          <w:p w14:paraId="695C25EB">
            <w:pPr>
              <w:widowControl/>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szCs w:val="21"/>
              </w:rPr>
              <w:t>因子说明</w:t>
            </w:r>
          </w:p>
        </w:tc>
      </w:tr>
      <w:tr w14:paraId="0AE5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tblHeader/>
          <w:jc w:val="center"/>
        </w:trPr>
        <w:tc>
          <w:tcPr>
            <w:tcW w:w="1179" w:type="dxa"/>
            <w:vMerge w:val="restart"/>
            <w:tcBorders>
              <w:tl2br w:val="nil"/>
              <w:tr2bl w:val="nil"/>
            </w:tcBorders>
            <w:shd w:val="clear" w:color="auto" w:fill="auto"/>
            <w:vAlign w:val="center"/>
          </w:tcPr>
          <w:p w14:paraId="70A3BBD3">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区位状况（外部经济与地理特性）</w:t>
            </w:r>
          </w:p>
        </w:tc>
        <w:tc>
          <w:tcPr>
            <w:tcW w:w="1252" w:type="dxa"/>
            <w:vMerge w:val="restart"/>
            <w:tcBorders>
              <w:tl2br w:val="nil"/>
              <w:tr2bl w:val="nil"/>
            </w:tcBorders>
            <w:shd w:val="clear" w:color="auto" w:fill="auto"/>
            <w:vAlign w:val="center"/>
          </w:tcPr>
          <w:p w14:paraId="35301344">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反映停车场所在位置的宏观条件，决定了其潜在需求</w:t>
            </w:r>
          </w:p>
        </w:tc>
        <w:tc>
          <w:tcPr>
            <w:tcW w:w="1735" w:type="dxa"/>
            <w:tcBorders>
              <w:right w:val="single" w:color="auto" w:sz="4" w:space="0"/>
              <w:tl2br w:val="nil"/>
              <w:tr2bl w:val="nil"/>
            </w:tcBorders>
            <w:shd w:val="clear" w:color="auto" w:fill="auto"/>
            <w:vAlign w:val="center"/>
          </w:tcPr>
          <w:p w14:paraId="0FF5C28F">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区域功能定位</w:t>
            </w:r>
          </w:p>
        </w:tc>
        <w:tc>
          <w:tcPr>
            <w:tcW w:w="4752" w:type="dxa"/>
            <w:tcBorders>
              <w:left w:val="single" w:color="auto" w:sz="4" w:space="0"/>
              <w:tl2br w:val="nil"/>
              <w:tr2bl w:val="nil"/>
            </w:tcBorders>
            <w:shd w:val="clear" w:color="auto" w:fill="auto"/>
            <w:vAlign w:val="center"/>
          </w:tcPr>
          <w:p w14:paraId="0821CC3E">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所在区域城市功能定位（如核心商圈、区域商务区、大型居住区、交通枢纽、医院学校周边），直接决定昼夜停车需求强度、类型（临时、长租）和稳定性</w:t>
            </w:r>
          </w:p>
        </w:tc>
      </w:tr>
      <w:tr w14:paraId="4DA66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7" w:hRule="atLeast"/>
          <w:tblHeader/>
          <w:jc w:val="center"/>
        </w:trPr>
        <w:tc>
          <w:tcPr>
            <w:tcW w:w="1179" w:type="dxa"/>
            <w:vMerge w:val="continue"/>
            <w:tcBorders>
              <w:tl2br w:val="nil"/>
              <w:tr2bl w:val="nil"/>
            </w:tcBorders>
            <w:shd w:val="clear" w:color="auto" w:fill="auto"/>
            <w:vAlign w:val="center"/>
          </w:tcPr>
          <w:p w14:paraId="08C16E6B">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17BF2FB4">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44FEC7F1">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交通与目的地可达性</w:t>
            </w:r>
          </w:p>
        </w:tc>
        <w:tc>
          <w:tcPr>
            <w:tcW w:w="4752" w:type="dxa"/>
            <w:tcBorders>
              <w:left w:val="single" w:color="auto" w:sz="4" w:space="0"/>
              <w:tl2br w:val="nil"/>
              <w:tr2bl w:val="nil"/>
            </w:tcBorders>
            <w:shd w:val="clear" w:color="auto" w:fill="auto"/>
            <w:vAlign w:val="center"/>
          </w:tcPr>
          <w:p w14:paraId="22355A34">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机动车辆可达性：与主干道、快速路的连接便利性，是否易堵车；目的地可达性：与主要客流吸引点的步行距离，此为关键</w:t>
            </w:r>
          </w:p>
        </w:tc>
      </w:tr>
      <w:tr w14:paraId="70E9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179" w:type="dxa"/>
            <w:vMerge w:val="continue"/>
            <w:tcBorders>
              <w:tl2br w:val="nil"/>
              <w:tr2bl w:val="nil"/>
            </w:tcBorders>
            <w:shd w:val="clear" w:color="auto" w:fill="auto"/>
            <w:vAlign w:val="center"/>
          </w:tcPr>
          <w:p w14:paraId="7A854551">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55EEB018">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4717D28C">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周围环境</w:t>
            </w:r>
          </w:p>
        </w:tc>
        <w:tc>
          <w:tcPr>
            <w:tcW w:w="4752" w:type="dxa"/>
            <w:tcBorders>
              <w:left w:val="single" w:color="auto" w:sz="4" w:space="0"/>
              <w:tl2br w:val="nil"/>
              <w:tr2bl w:val="nil"/>
            </w:tcBorders>
            <w:shd w:val="clear" w:color="auto" w:fill="auto"/>
            <w:vAlign w:val="center"/>
          </w:tcPr>
          <w:p w14:paraId="11227117">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区域治安、夜间照明、是否存在交通管制（如单行道）等，影响使用意愿</w:t>
            </w:r>
          </w:p>
        </w:tc>
      </w:tr>
      <w:tr w14:paraId="4BED3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7" w:hRule="atLeast"/>
          <w:tblHeader/>
          <w:jc w:val="center"/>
        </w:trPr>
        <w:tc>
          <w:tcPr>
            <w:tcW w:w="1179" w:type="dxa"/>
            <w:vMerge w:val="continue"/>
            <w:tcBorders>
              <w:tl2br w:val="nil"/>
              <w:tr2bl w:val="nil"/>
            </w:tcBorders>
            <w:shd w:val="clear" w:color="auto" w:fill="auto"/>
            <w:vAlign w:val="center"/>
          </w:tcPr>
          <w:p w14:paraId="5FB3402E">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2CB7E2FB">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0C8E91F1">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市场竞争与替代性</w:t>
            </w:r>
          </w:p>
        </w:tc>
        <w:tc>
          <w:tcPr>
            <w:tcW w:w="4752" w:type="dxa"/>
            <w:tcBorders>
              <w:left w:val="single" w:color="auto" w:sz="4" w:space="0"/>
              <w:tl2br w:val="nil"/>
              <w:tr2bl w:val="nil"/>
            </w:tcBorders>
            <w:shd w:val="clear" w:color="auto" w:fill="auto"/>
            <w:vAlign w:val="center"/>
          </w:tcPr>
          <w:p w14:paraId="014319CF">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包括周边500米内竞争性停车场的数量、规模、租金及空置率；路内停车位的替代性；公共交通便利性对需求的削弱作用</w:t>
            </w:r>
          </w:p>
        </w:tc>
      </w:tr>
      <w:tr w14:paraId="660B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179" w:type="dxa"/>
            <w:vMerge w:val="restart"/>
            <w:tcBorders>
              <w:tl2br w:val="nil"/>
              <w:tr2bl w:val="nil"/>
            </w:tcBorders>
            <w:shd w:val="clear" w:color="auto" w:fill="auto"/>
            <w:vAlign w:val="center"/>
          </w:tcPr>
          <w:p w14:paraId="5830CB1C">
            <w:pPr>
              <w:widowControl/>
              <w:spacing w:line="300"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rPr>
              <w:t>实物状况（空间与设施特征）</w:t>
            </w:r>
          </w:p>
        </w:tc>
        <w:tc>
          <w:tcPr>
            <w:tcW w:w="1252" w:type="dxa"/>
            <w:vMerge w:val="restart"/>
            <w:tcBorders>
              <w:tl2br w:val="nil"/>
              <w:tr2bl w:val="nil"/>
            </w:tcBorders>
            <w:shd w:val="clear" w:color="auto" w:fill="auto"/>
            <w:vAlign w:val="center"/>
          </w:tcPr>
          <w:p w14:paraId="6B6BB505">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停车场：反映停车场本身的硬件条件、空间布局和设施水平</w:t>
            </w:r>
          </w:p>
        </w:tc>
        <w:tc>
          <w:tcPr>
            <w:tcW w:w="1735" w:type="dxa"/>
            <w:tcBorders>
              <w:right w:val="single" w:color="auto" w:sz="4" w:space="0"/>
              <w:tl2br w:val="nil"/>
              <w:tr2bl w:val="nil"/>
            </w:tcBorders>
            <w:shd w:val="clear" w:color="auto" w:fill="auto"/>
            <w:vAlign w:val="center"/>
          </w:tcPr>
          <w:p w14:paraId="1F18E55C">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昭示性与出入口</w:t>
            </w:r>
          </w:p>
        </w:tc>
        <w:tc>
          <w:tcPr>
            <w:tcW w:w="4752" w:type="dxa"/>
            <w:tcBorders>
              <w:left w:val="single" w:color="auto" w:sz="4" w:space="0"/>
              <w:tl2br w:val="nil"/>
              <w:tr2bl w:val="nil"/>
            </w:tcBorders>
            <w:shd w:val="clear" w:color="auto" w:fill="auto"/>
            <w:vAlign w:val="center"/>
          </w:tcPr>
          <w:p w14:paraId="3DB65B0A">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停车场入口及标识系统的醒目程度（昭示性），以及出入口的位置、数量和便利性</w:t>
            </w:r>
          </w:p>
        </w:tc>
      </w:tr>
      <w:tr w14:paraId="0682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tblHeader/>
          <w:jc w:val="center"/>
        </w:trPr>
        <w:tc>
          <w:tcPr>
            <w:tcW w:w="1179" w:type="dxa"/>
            <w:vMerge w:val="continue"/>
            <w:tcBorders>
              <w:tl2br w:val="nil"/>
              <w:tr2bl w:val="nil"/>
            </w:tcBorders>
            <w:shd w:val="clear" w:color="auto" w:fill="auto"/>
            <w:vAlign w:val="center"/>
          </w:tcPr>
          <w:p w14:paraId="157E1540">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3755C70A">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11DBABA3">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停车场类型</w:t>
            </w:r>
          </w:p>
        </w:tc>
        <w:tc>
          <w:tcPr>
            <w:tcW w:w="4752" w:type="dxa"/>
            <w:tcBorders>
              <w:left w:val="single" w:color="auto" w:sz="4" w:space="0"/>
              <w:tl2br w:val="nil"/>
              <w:tr2bl w:val="nil"/>
            </w:tcBorders>
            <w:shd w:val="clear" w:color="auto" w:fill="auto"/>
            <w:vAlign w:val="center"/>
          </w:tcPr>
          <w:p w14:paraId="12D97C7A">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是地面、地下、立体停车楼还是机械式车库。地下车库中，负一层租金通常高于负二层及以下</w:t>
            </w:r>
          </w:p>
        </w:tc>
      </w:tr>
      <w:tr w14:paraId="02AA1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tblHeader/>
          <w:jc w:val="center"/>
        </w:trPr>
        <w:tc>
          <w:tcPr>
            <w:tcW w:w="1179" w:type="dxa"/>
            <w:vMerge w:val="continue"/>
            <w:tcBorders>
              <w:tl2br w:val="nil"/>
              <w:tr2bl w:val="nil"/>
            </w:tcBorders>
            <w:shd w:val="clear" w:color="auto" w:fill="auto"/>
            <w:vAlign w:val="center"/>
          </w:tcPr>
          <w:p w14:paraId="496685A4">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0BC81783">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5DD7436A">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空间效率与动线</w:t>
            </w:r>
          </w:p>
        </w:tc>
        <w:tc>
          <w:tcPr>
            <w:tcW w:w="4752" w:type="dxa"/>
            <w:tcBorders>
              <w:left w:val="single" w:color="auto" w:sz="4" w:space="0"/>
              <w:tl2br w:val="nil"/>
              <w:tr2bl w:val="nil"/>
            </w:tcBorders>
            <w:shd w:val="clear" w:color="auto" w:fill="auto"/>
            <w:vAlign w:val="center"/>
          </w:tcPr>
          <w:p w14:paraId="32C25D2C">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包括车位尺寸、柱网间距、车道宽度、转弯半径、内部流线是否清晰通畅，有无拥堵点和安全隐患</w:t>
            </w:r>
          </w:p>
        </w:tc>
      </w:tr>
      <w:tr w14:paraId="7347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7" w:hRule="atLeast"/>
          <w:tblHeader/>
          <w:jc w:val="center"/>
        </w:trPr>
        <w:tc>
          <w:tcPr>
            <w:tcW w:w="1179" w:type="dxa"/>
            <w:vMerge w:val="continue"/>
            <w:tcBorders>
              <w:tl2br w:val="nil"/>
              <w:tr2bl w:val="nil"/>
            </w:tcBorders>
            <w:shd w:val="clear" w:color="auto" w:fill="auto"/>
            <w:vAlign w:val="center"/>
          </w:tcPr>
          <w:p w14:paraId="315D5EDE">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495F2FA9">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1E0C6455">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设施设备</w:t>
            </w:r>
          </w:p>
        </w:tc>
        <w:tc>
          <w:tcPr>
            <w:tcW w:w="4752" w:type="dxa"/>
            <w:tcBorders>
              <w:left w:val="single" w:color="auto" w:sz="4" w:space="0"/>
              <w:tl2br w:val="nil"/>
              <w:tr2bl w:val="nil"/>
            </w:tcBorders>
            <w:shd w:val="clear" w:color="auto" w:fill="auto"/>
            <w:vAlign w:val="center"/>
          </w:tcPr>
          <w:p w14:paraId="2C543682">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基础设施：照明、通风、消防；智能化系统：车牌识别、无感支付、车位引导；增值设施：新能源充电桩，特别是快充桩</w:t>
            </w:r>
          </w:p>
        </w:tc>
      </w:tr>
      <w:tr w14:paraId="40092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179" w:type="dxa"/>
            <w:vMerge w:val="continue"/>
            <w:tcBorders>
              <w:tl2br w:val="nil"/>
              <w:tr2bl w:val="nil"/>
            </w:tcBorders>
            <w:shd w:val="clear" w:color="auto" w:fill="auto"/>
            <w:vAlign w:val="center"/>
          </w:tcPr>
          <w:p w14:paraId="5DCCC2CE">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20F7EFD0">
            <w:pPr>
              <w:widowControl/>
              <w:spacing w:line="300" w:lineRule="exact"/>
              <w:jc w:val="center"/>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3593E066">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物业管理</w:t>
            </w:r>
          </w:p>
        </w:tc>
        <w:tc>
          <w:tcPr>
            <w:tcW w:w="4752" w:type="dxa"/>
            <w:tcBorders>
              <w:left w:val="single" w:color="auto" w:sz="4" w:space="0"/>
              <w:tl2br w:val="nil"/>
              <w:tr2bl w:val="nil"/>
            </w:tcBorders>
            <w:shd w:val="clear" w:color="auto" w:fill="auto"/>
            <w:vAlign w:val="center"/>
          </w:tcPr>
          <w:p w14:paraId="26CD737A">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物业管理公司的品牌、标准化服务、安保水平、清洁维护等带来的溢价能力</w:t>
            </w:r>
          </w:p>
        </w:tc>
      </w:tr>
      <w:tr w14:paraId="44907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179" w:type="dxa"/>
            <w:vMerge w:val="continue"/>
            <w:tcBorders>
              <w:tl2br w:val="nil"/>
              <w:tr2bl w:val="nil"/>
            </w:tcBorders>
            <w:shd w:val="clear" w:color="auto" w:fill="auto"/>
            <w:vAlign w:val="center"/>
          </w:tcPr>
          <w:p w14:paraId="26E62EAB">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restart"/>
            <w:tcBorders>
              <w:tl2br w:val="nil"/>
              <w:tr2bl w:val="nil"/>
            </w:tcBorders>
            <w:shd w:val="clear" w:color="auto" w:fill="auto"/>
            <w:vAlign w:val="center"/>
          </w:tcPr>
          <w:p w14:paraId="53BC958B">
            <w:pPr>
              <w:widowControl/>
              <w:spacing w:line="30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停车位：反映单个车位的物理属性、空间尺度及在停车场内的具体位置所带来的便利性差异</w:t>
            </w:r>
          </w:p>
        </w:tc>
        <w:tc>
          <w:tcPr>
            <w:tcW w:w="1735" w:type="dxa"/>
            <w:tcBorders>
              <w:right w:val="single" w:color="auto" w:sz="4" w:space="0"/>
              <w:tl2br w:val="nil"/>
              <w:tr2bl w:val="nil"/>
            </w:tcBorders>
            <w:shd w:val="clear" w:color="auto" w:fill="auto"/>
            <w:vAlign w:val="center"/>
          </w:tcPr>
          <w:p w14:paraId="079F8A17">
            <w:pPr>
              <w:widowControl/>
              <w:spacing w:line="30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车位配比</w:t>
            </w:r>
          </w:p>
        </w:tc>
        <w:tc>
          <w:tcPr>
            <w:tcW w:w="4752" w:type="dxa"/>
            <w:tcBorders>
              <w:left w:val="single" w:color="auto" w:sz="4" w:space="0"/>
              <w:tl2br w:val="nil"/>
              <w:tr2bl w:val="nil"/>
            </w:tcBorders>
            <w:shd w:val="clear" w:color="auto" w:fill="auto"/>
            <w:vAlign w:val="center"/>
          </w:tcPr>
          <w:p w14:paraId="45AA5C49">
            <w:pPr>
              <w:widowControl/>
              <w:spacing w:line="260" w:lineRule="exact"/>
              <w:jc w:val="left"/>
              <w:textAlignment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评估单个停车位时，主要关注实物状况，特别是所在大楼或小区的停车位配比，越稀缺溢价越高</w:t>
            </w:r>
          </w:p>
        </w:tc>
      </w:tr>
      <w:tr w14:paraId="24901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179" w:type="dxa"/>
            <w:vMerge w:val="continue"/>
            <w:tcBorders>
              <w:tl2br w:val="nil"/>
              <w:tr2bl w:val="nil"/>
            </w:tcBorders>
            <w:shd w:val="clear" w:color="auto" w:fill="auto"/>
            <w:vAlign w:val="center"/>
          </w:tcPr>
          <w:p w14:paraId="644714D0">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25597DC8">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05AB8358">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车位类型</w:t>
            </w:r>
          </w:p>
        </w:tc>
        <w:tc>
          <w:tcPr>
            <w:tcW w:w="4752" w:type="dxa"/>
            <w:tcBorders>
              <w:left w:val="single" w:color="auto" w:sz="4" w:space="0"/>
              <w:tl2br w:val="nil"/>
              <w:tr2bl w:val="nil"/>
            </w:tcBorders>
            <w:shd w:val="clear" w:color="auto" w:fill="auto"/>
            <w:vAlign w:val="center"/>
          </w:tcPr>
          <w:p w14:paraId="2AABE236">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分为自走式车位和机械车位。机械车位因存取效率、故障风险和对车型的限制，租金通常有明显折价</w:t>
            </w:r>
          </w:p>
        </w:tc>
      </w:tr>
      <w:tr w14:paraId="6B43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8" w:hRule="atLeast"/>
          <w:tblHeader/>
          <w:jc w:val="center"/>
        </w:trPr>
        <w:tc>
          <w:tcPr>
            <w:tcW w:w="1179" w:type="dxa"/>
            <w:vMerge w:val="continue"/>
            <w:tcBorders>
              <w:tl2br w:val="nil"/>
              <w:tr2bl w:val="nil"/>
            </w:tcBorders>
            <w:shd w:val="clear" w:color="auto" w:fill="auto"/>
            <w:vAlign w:val="center"/>
          </w:tcPr>
          <w:p w14:paraId="180E95D1">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7BE84077">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4C70F2C0">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空间尺度与便利性</w:t>
            </w:r>
          </w:p>
        </w:tc>
        <w:tc>
          <w:tcPr>
            <w:tcW w:w="4752" w:type="dxa"/>
            <w:tcBorders>
              <w:left w:val="single" w:color="auto" w:sz="4" w:space="0"/>
              <w:tl2br w:val="nil"/>
              <w:tr2bl w:val="nil"/>
            </w:tcBorders>
            <w:shd w:val="clear" w:color="auto" w:fill="auto"/>
            <w:vAlign w:val="center"/>
          </w:tcPr>
          <w:p w14:paraId="0F9A173F">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标准尺寸：是否符合或优于常规车位尺寸（如2.4m宽、5.3m长）；车门开启便利度：是否靠近柱子（形成“宽车位”）、是否为子母车位、是否被墙体或设备挤压空间，空间越宽敞，租金越高；停车难度：是否为易停靠的垂直车位，还是狭窄的平行或斜向车位</w:t>
            </w:r>
          </w:p>
        </w:tc>
      </w:tr>
      <w:tr w14:paraId="015A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tblHeader/>
          <w:jc w:val="center"/>
        </w:trPr>
        <w:tc>
          <w:tcPr>
            <w:tcW w:w="1179" w:type="dxa"/>
            <w:vMerge w:val="continue"/>
            <w:tcBorders>
              <w:tl2br w:val="nil"/>
              <w:tr2bl w:val="nil"/>
            </w:tcBorders>
            <w:shd w:val="clear" w:color="auto" w:fill="auto"/>
            <w:vAlign w:val="center"/>
          </w:tcPr>
          <w:p w14:paraId="675D9191">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224362D6">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77A65685">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位置与便利性</w:t>
            </w:r>
          </w:p>
        </w:tc>
        <w:tc>
          <w:tcPr>
            <w:tcW w:w="4752" w:type="dxa"/>
            <w:tcBorders>
              <w:left w:val="single" w:color="auto" w:sz="4" w:space="0"/>
              <w:tl2br w:val="nil"/>
              <w:tr2bl w:val="nil"/>
            </w:tcBorders>
            <w:shd w:val="clear" w:color="auto" w:fill="auto"/>
            <w:vAlign w:val="center"/>
          </w:tcPr>
          <w:p w14:paraId="093F1E2C">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距出入口距离：靠近车辆出入口、行人出入口、电梯厅、楼梯间的车位租金最高；所在楼层：地下车库中，负一层价值通常高于更低的楼层；动线节点：位于主通道旁、拐角、尽端等位置的便利性或劣势</w:t>
            </w:r>
          </w:p>
        </w:tc>
      </w:tr>
      <w:tr w14:paraId="451D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7" w:hRule="atLeast"/>
          <w:tblHeader/>
          <w:jc w:val="center"/>
        </w:trPr>
        <w:tc>
          <w:tcPr>
            <w:tcW w:w="1179" w:type="dxa"/>
            <w:vMerge w:val="continue"/>
            <w:tcBorders>
              <w:tl2br w:val="nil"/>
              <w:tr2bl w:val="nil"/>
            </w:tcBorders>
            <w:shd w:val="clear" w:color="auto" w:fill="auto"/>
            <w:vAlign w:val="center"/>
          </w:tcPr>
          <w:p w14:paraId="21CCB87F">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38260F24">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5FEAC30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配套设施邻近度</w:t>
            </w:r>
          </w:p>
        </w:tc>
        <w:tc>
          <w:tcPr>
            <w:tcW w:w="4752" w:type="dxa"/>
            <w:tcBorders>
              <w:left w:val="single" w:color="auto" w:sz="4" w:space="0"/>
              <w:tl2br w:val="nil"/>
              <w:tr2bl w:val="nil"/>
            </w:tcBorders>
            <w:shd w:val="clear" w:color="auto" w:fill="auto"/>
            <w:vAlign w:val="center"/>
          </w:tcPr>
          <w:p w14:paraId="65B91437">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车位是否邻近卫生间、充电桩、垃圾桶等设施。过近可能受干扰（如异味、人流），适中的距离为佳。邻近充电桩对新能源车主是溢价点</w:t>
            </w:r>
          </w:p>
        </w:tc>
      </w:tr>
      <w:tr w14:paraId="1BAB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tblHeader/>
          <w:jc w:val="center"/>
        </w:trPr>
        <w:tc>
          <w:tcPr>
            <w:tcW w:w="1179" w:type="dxa"/>
            <w:vMerge w:val="continue"/>
            <w:tcBorders>
              <w:tl2br w:val="nil"/>
              <w:tr2bl w:val="nil"/>
            </w:tcBorders>
            <w:shd w:val="clear" w:color="auto" w:fill="auto"/>
            <w:vAlign w:val="center"/>
          </w:tcPr>
          <w:p w14:paraId="136B79E4">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53F969C9">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592597A2">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环境与安全</w:t>
            </w:r>
          </w:p>
        </w:tc>
        <w:tc>
          <w:tcPr>
            <w:tcW w:w="4752" w:type="dxa"/>
            <w:tcBorders>
              <w:left w:val="single" w:color="auto" w:sz="4" w:space="0"/>
              <w:tl2br w:val="nil"/>
              <w:tr2bl w:val="nil"/>
            </w:tcBorders>
            <w:shd w:val="clear" w:color="auto" w:fill="auto"/>
            <w:vAlign w:val="center"/>
          </w:tcPr>
          <w:p w14:paraId="6989FD61">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照明条件：该车位区域光线是否充足；监控覆盖：是否在摄像头清晰视野内，提升车辆安全感；是否靠墙/靠柱：一侧靠实物可减少被邻车刮蹭的风险，有一定正向影响，但也可能使该侧车门开启不便</w:t>
            </w:r>
          </w:p>
        </w:tc>
      </w:tr>
      <w:tr w14:paraId="0EDE7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tblHeader/>
          <w:jc w:val="center"/>
        </w:trPr>
        <w:tc>
          <w:tcPr>
            <w:tcW w:w="1179" w:type="dxa"/>
            <w:vMerge w:val="continue"/>
            <w:tcBorders>
              <w:tl2br w:val="nil"/>
              <w:tr2bl w:val="nil"/>
            </w:tcBorders>
            <w:shd w:val="clear" w:color="auto" w:fill="auto"/>
            <w:vAlign w:val="center"/>
          </w:tcPr>
          <w:p w14:paraId="25580656">
            <w:pPr>
              <w:widowControl/>
              <w:spacing w:line="300" w:lineRule="exact"/>
              <w:jc w:val="center"/>
              <w:textAlignment w:val="center"/>
              <w:rPr>
                <w:rFonts w:ascii="Times New Roman" w:hAnsi="Times New Roman" w:eastAsia="方正仿宋_GBK" w:cs="Times New Roman"/>
                <w:kern w:val="0"/>
                <w:szCs w:val="21"/>
              </w:rPr>
            </w:pPr>
          </w:p>
        </w:tc>
        <w:tc>
          <w:tcPr>
            <w:tcW w:w="1252" w:type="dxa"/>
            <w:vMerge w:val="continue"/>
            <w:tcBorders>
              <w:tl2br w:val="nil"/>
              <w:tr2bl w:val="nil"/>
            </w:tcBorders>
            <w:shd w:val="clear" w:color="auto" w:fill="auto"/>
            <w:vAlign w:val="center"/>
          </w:tcPr>
          <w:p w14:paraId="3760F164">
            <w:pPr>
              <w:widowControl/>
              <w:spacing w:line="300" w:lineRule="exact"/>
              <w:jc w:val="left"/>
              <w:textAlignment w:val="center"/>
              <w:rPr>
                <w:rFonts w:ascii="Times New Roman" w:hAnsi="Times New Roman" w:eastAsia="方正仿宋_GBK" w:cs="Times New Roman"/>
                <w:kern w:val="0"/>
                <w:szCs w:val="21"/>
              </w:rPr>
            </w:pPr>
          </w:p>
        </w:tc>
        <w:tc>
          <w:tcPr>
            <w:tcW w:w="1735" w:type="dxa"/>
            <w:tcBorders>
              <w:right w:val="single" w:color="auto" w:sz="4" w:space="0"/>
              <w:tl2br w:val="nil"/>
              <w:tr2bl w:val="nil"/>
            </w:tcBorders>
            <w:shd w:val="clear" w:color="auto" w:fill="auto"/>
            <w:vAlign w:val="center"/>
          </w:tcPr>
          <w:p w14:paraId="0ED879E9">
            <w:pPr>
              <w:widowControl/>
              <w:spacing w:line="30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专属性与标识</w:t>
            </w:r>
          </w:p>
        </w:tc>
        <w:tc>
          <w:tcPr>
            <w:tcW w:w="4752" w:type="dxa"/>
            <w:tcBorders>
              <w:left w:val="single" w:color="auto" w:sz="4" w:space="0"/>
              <w:tl2br w:val="nil"/>
              <w:tr2bl w:val="nil"/>
            </w:tcBorders>
            <w:shd w:val="clear" w:color="auto" w:fill="auto"/>
            <w:vAlign w:val="center"/>
          </w:tcPr>
          <w:p w14:paraId="575D2FA7">
            <w:pPr>
              <w:widowControl/>
              <w:spacing w:line="260" w:lineRule="exact"/>
              <w:jc w:val="left"/>
              <w:textAlignment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是否为有地锁、编号清晰的固定车位或专属车位，其租金高于非固定分配的随机车位</w:t>
            </w:r>
          </w:p>
        </w:tc>
      </w:tr>
    </w:tbl>
    <w:p w14:paraId="653FDF43">
      <w:pPr>
        <w:pStyle w:val="8"/>
        <w:spacing w:line="600" w:lineRule="exact"/>
        <w:rPr>
          <w:rFonts w:ascii="Times New Roman" w:hAnsi="Times New Roman" w:eastAsia="方正仿宋_GBK" w:cs="Times New Roman"/>
          <w:sz w:val="32"/>
          <w:szCs w:val="32"/>
        </w:rPr>
      </w:pPr>
    </w:p>
    <w:p w14:paraId="4AE96151">
      <w:pPr>
        <w:pStyle w:val="8"/>
        <w:spacing w:line="20" w:lineRule="exact"/>
        <w:rPr>
          <w:rFonts w:ascii="Times New Roman" w:hAnsi="Times New Roman" w:eastAsia="方正仿宋_GBK" w:cs="Times New Roman"/>
          <w:sz w:val="32"/>
          <w:szCs w:val="32"/>
        </w:rPr>
      </w:pPr>
    </w:p>
    <w:sectPr>
      <w:pgSz w:w="11906" w:h="16838"/>
      <w:pgMar w:top="1440" w:right="1803"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3A702-73FA-49AF-9BAD-00B8B4C89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A771BFE-A3B0-4E66-8413-2A23E2A621A6}"/>
  </w:font>
  <w:font w:name="方正仿宋_GBK">
    <w:panose1 w:val="02000000000000000000"/>
    <w:charset w:val="86"/>
    <w:family w:val="script"/>
    <w:pitch w:val="default"/>
    <w:sig w:usb0="A00002BF" w:usb1="38CF7CFA" w:usb2="00082016" w:usb3="00000000" w:csb0="00040001" w:csb1="00000000"/>
    <w:embedRegular r:id="rId3" w:fontKey="{92052EE4-A375-4551-91A3-047FF1F3FEC4}"/>
  </w:font>
  <w:font w:name="仿宋">
    <w:panose1 w:val="02010609060101010101"/>
    <w:charset w:val="86"/>
    <w:family w:val="modern"/>
    <w:pitch w:val="default"/>
    <w:sig w:usb0="800002BF" w:usb1="38CF7CFA" w:usb2="00000016" w:usb3="00000000" w:csb0="00040001" w:csb1="00000000"/>
    <w:embedRegular r:id="rId4" w:fontKey="{02616A5D-941F-469C-BDEC-FC5E801839FD}"/>
  </w:font>
  <w:font w:name="方正楷体_GBK">
    <w:panose1 w:val="03000509000000000000"/>
    <w:charset w:val="86"/>
    <w:family w:val="script"/>
    <w:pitch w:val="default"/>
    <w:sig w:usb0="00000001" w:usb1="080E0000" w:usb2="00000000" w:usb3="00000000" w:csb0="00040000" w:csb1="00000000"/>
    <w:embedRegular r:id="rId5" w:fontKey="{85C9C731-777E-4AE3-B5E6-B051E40946DE}"/>
  </w:font>
  <w:font w:name="Cambria Math">
    <w:panose1 w:val="02040503050406030204"/>
    <w:charset w:val="00"/>
    <w:family w:val="roman"/>
    <w:pitch w:val="default"/>
    <w:sig w:usb0="E00006FF" w:usb1="420024FF" w:usb2="02000000" w:usb3="00000000" w:csb0="2000019F" w:csb1="00000000"/>
    <w:embedRegular r:id="rId6" w:fontKey="{3503BA9A-33F0-4DC0-8FF0-8457D96E54CB}"/>
  </w:font>
  <w:font w:name="方正小标宋_GBK">
    <w:panose1 w:val="03000509000000000000"/>
    <w:charset w:val="86"/>
    <w:family w:val="script"/>
    <w:pitch w:val="default"/>
    <w:sig w:usb0="00000001" w:usb1="080E0000" w:usb2="00000000" w:usb3="00000000" w:csb0="00040000" w:csb1="00000000"/>
    <w:embedRegular r:id="rId7" w:fontKey="{F183F6F4-A049-499A-A7B7-C51F4A1CF7DA}"/>
  </w:font>
  <w:font w:name="Segoe UI">
    <w:panose1 w:val="020B0502040204020203"/>
    <w:charset w:val="00"/>
    <w:family w:val="swiss"/>
    <w:pitch w:val="default"/>
    <w:sig w:usb0="E4002EFF" w:usb1="C000E47F" w:usb2="00000009" w:usb3="00000000" w:csb0="200001FF" w:csb1="00000000"/>
    <w:embedRegular r:id="rId8" w:fontKey="{1CB59FBD-5EE9-424B-8631-6C64EC29E56B}"/>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0FB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E79A36">
                          <w:pPr>
                            <w:pStyle w:val="6"/>
                            <w:rPr>
                              <w:rFonts w:ascii="Times New Roman" w:hAnsi="Times New Roman" w:eastAsia="方正楷体_GBK" w:cs="Times New Roman"/>
                            </w:rPr>
                          </w:pPr>
                          <w:r>
                            <w:rPr>
                              <w:rFonts w:ascii="Times New Roman" w:hAnsi="Times New Roman" w:eastAsia="方正楷体_GBK" w:cs="Times New Roman"/>
                            </w:rPr>
                            <w:t xml:space="preserve">第 </w:t>
                          </w:r>
                          <w:r>
                            <w:rPr>
                              <w:rFonts w:ascii="Times New Roman" w:hAnsi="Times New Roman" w:eastAsia="方正楷体_GBK" w:cs="Times New Roman"/>
                            </w:rPr>
                            <w:fldChar w:fldCharType="begin"/>
                          </w:r>
                          <w:r>
                            <w:rPr>
                              <w:rFonts w:ascii="Times New Roman" w:hAnsi="Times New Roman" w:eastAsia="方正楷体_GBK" w:cs="Times New Roman"/>
                            </w:rPr>
                            <w:instrText xml:space="preserve"> PAGE  \* MERGEFORMAT </w:instrText>
                          </w:r>
                          <w:r>
                            <w:rPr>
                              <w:rFonts w:ascii="Times New Roman" w:hAnsi="Times New Roman" w:eastAsia="方正楷体_GBK" w:cs="Times New Roman"/>
                            </w:rPr>
                            <w:fldChar w:fldCharType="separate"/>
                          </w:r>
                          <w:r>
                            <w:rPr>
                              <w:rFonts w:ascii="Times New Roman" w:hAnsi="Times New Roman" w:eastAsia="方正楷体_GBK" w:cs="Times New Roman"/>
                            </w:rPr>
                            <w:t>1</w:t>
                          </w:r>
                          <w:r>
                            <w:rPr>
                              <w:rFonts w:ascii="Times New Roman" w:hAnsi="Times New Roman" w:eastAsia="方正楷体_GBK" w:cs="Times New Roman"/>
                            </w:rPr>
                            <w:fldChar w:fldCharType="end"/>
                          </w:r>
                          <w:r>
                            <w:rPr>
                              <w:rFonts w:ascii="Times New Roman" w:hAnsi="Times New Roman" w:eastAsia="方正楷体_GBK" w:cs="Times New Roman"/>
                            </w:rPr>
                            <w:t xml:space="preserve"> 页 共 </w:t>
                          </w:r>
                          <w:r>
                            <w:fldChar w:fldCharType="begin"/>
                          </w:r>
                          <w:r>
                            <w:instrText xml:space="preserve"> NUMPAGES  \* MERGEFORMAT </w:instrText>
                          </w:r>
                          <w:r>
                            <w:fldChar w:fldCharType="separate"/>
                          </w:r>
                          <w:r>
                            <w:rPr>
                              <w:rFonts w:ascii="Times New Roman" w:hAnsi="Times New Roman" w:eastAsia="方正楷体_GBK" w:cs="Times New Roman"/>
                            </w:rPr>
                            <w:t>50</w:t>
                          </w:r>
                          <w:r>
                            <w:rPr>
                              <w:rFonts w:ascii="Times New Roman" w:hAnsi="Times New Roman" w:eastAsia="方正楷体_GBK" w:cs="Times New Roman"/>
                            </w:rPr>
                            <w:fldChar w:fldCharType="end"/>
                          </w:r>
                          <w:r>
                            <w:rPr>
                              <w:rFonts w:ascii="Times New Roman" w:hAnsi="Times New Roman" w:eastAsia="方正楷体_GBK"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EE79A36">
                    <w:pPr>
                      <w:pStyle w:val="6"/>
                      <w:rPr>
                        <w:rFonts w:ascii="Times New Roman" w:hAnsi="Times New Roman" w:eastAsia="方正楷体_GBK" w:cs="Times New Roman"/>
                      </w:rPr>
                    </w:pPr>
                    <w:r>
                      <w:rPr>
                        <w:rFonts w:ascii="Times New Roman" w:hAnsi="Times New Roman" w:eastAsia="方正楷体_GBK" w:cs="Times New Roman"/>
                      </w:rPr>
                      <w:t xml:space="preserve">第 </w:t>
                    </w:r>
                    <w:r>
                      <w:rPr>
                        <w:rFonts w:ascii="Times New Roman" w:hAnsi="Times New Roman" w:eastAsia="方正楷体_GBK" w:cs="Times New Roman"/>
                      </w:rPr>
                      <w:fldChar w:fldCharType="begin"/>
                    </w:r>
                    <w:r>
                      <w:rPr>
                        <w:rFonts w:ascii="Times New Roman" w:hAnsi="Times New Roman" w:eastAsia="方正楷体_GBK" w:cs="Times New Roman"/>
                      </w:rPr>
                      <w:instrText xml:space="preserve"> PAGE  \* MERGEFORMAT </w:instrText>
                    </w:r>
                    <w:r>
                      <w:rPr>
                        <w:rFonts w:ascii="Times New Roman" w:hAnsi="Times New Roman" w:eastAsia="方正楷体_GBK" w:cs="Times New Roman"/>
                      </w:rPr>
                      <w:fldChar w:fldCharType="separate"/>
                    </w:r>
                    <w:r>
                      <w:rPr>
                        <w:rFonts w:ascii="Times New Roman" w:hAnsi="Times New Roman" w:eastAsia="方正楷体_GBK" w:cs="Times New Roman"/>
                      </w:rPr>
                      <w:t>1</w:t>
                    </w:r>
                    <w:r>
                      <w:rPr>
                        <w:rFonts w:ascii="Times New Roman" w:hAnsi="Times New Roman" w:eastAsia="方正楷体_GBK" w:cs="Times New Roman"/>
                      </w:rPr>
                      <w:fldChar w:fldCharType="end"/>
                    </w:r>
                    <w:r>
                      <w:rPr>
                        <w:rFonts w:ascii="Times New Roman" w:hAnsi="Times New Roman" w:eastAsia="方正楷体_GBK" w:cs="Times New Roman"/>
                      </w:rPr>
                      <w:t xml:space="preserve"> 页 共 </w:t>
                    </w:r>
                    <w:r>
                      <w:fldChar w:fldCharType="begin"/>
                    </w:r>
                    <w:r>
                      <w:instrText xml:space="preserve"> NUMPAGES  \* MERGEFORMAT </w:instrText>
                    </w:r>
                    <w:r>
                      <w:fldChar w:fldCharType="separate"/>
                    </w:r>
                    <w:r>
                      <w:rPr>
                        <w:rFonts w:ascii="Times New Roman" w:hAnsi="Times New Roman" w:eastAsia="方正楷体_GBK" w:cs="Times New Roman"/>
                      </w:rPr>
                      <w:t>50</w:t>
                    </w:r>
                    <w:r>
                      <w:rPr>
                        <w:rFonts w:ascii="Times New Roman" w:hAnsi="Times New Roman" w:eastAsia="方正楷体_GBK" w:cs="Times New Roman"/>
                      </w:rPr>
                      <w:fldChar w:fldCharType="end"/>
                    </w:r>
                    <w:r>
                      <w:rPr>
                        <w:rFonts w:ascii="Times New Roman" w:hAnsi="Times New Roman" w:eastAsia="方正楷体_GBK"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0C"/>
    <w:rsid w:val="0018592B"/>
    <w:rsid w:val="00590B3E"/>
    <w:rsid w:val="006B3599"/>
    <w:rsid w:val="008B312D"/>
    <w:rsid w:val="00917A0C"/>
    <w:rsid w:val="00BF7984"/>
    <w:rsid w:val="02E570C1"/>
    <w:rsid w:val="04061370"/>
    <w:rsid w:val="046A7B57"/>
    <w:rsid w:val="048A5914"/>
    <w:rsid w:val="0533289F"/>
    <w:rsid w:val="0A6273E5"/>
    <w:rsid w:val="0BCB57A8"/>
    <w:rsid w:val="157F52EF"/>
    <w:rsid w:val="16105F47"/>
    <w:rsid w:val="167209B0"/>
    <w:rsid w:val="1CEB0DB6"/>
    <w:rsid w:val="22031056"/>
    <w:rsid w:val="31452F66"/>
    <w:rsid w:val="32C050B8"/>
    <w:rsid w:val="39646D24"/>
    <w:rsid w:val="3A0F7273"/>
    <w:rsid w:val="3EA3354D"/>
    <w:rsid w:val="43652436"/>
    <w:rsid w:val="43EE2ABA"/>
    <w:rsid w:val="45252F0E"/>
    <w:rsid w:val="4DC631B9"/>
    <w:rsid w:val="54422A68"/>
    <w:rsid w:val="54EE793B"/>
    <w:rsid w:val="5B0263A3"/>
    <w:rsid w:val="645E4E80"/>
    <w:rsid w:val="666624BF"/>
    <w:rsid w:val="669E7FD2"/>
    <w:rsid w:val="69A007DB"/>
    <w:rsid w:val="6E4A5A76"/>
    <w:rsid w:val="75823828"/>
    <w:rsid w:val="78EF1A00"/>
    <w:rsid w:val="798772C2"/>
    <w:rsid w:val="7E32384F"/>
    <w:rsid w:val="7E39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11482</Words>
  <Characters>11610</Characters>
  <Lines>264</Lines>
  <Paragraphs>74</Paragraphs>
  <TotalTime>6</TotalTime>
  <ScaleCrop>false</ScaleCrop>
  <LinksUpToDate>false</LinksUpToDate>
  <CharactersWithSpaces>11639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2026-01-13T06:45:00Z</dcterms:created>
  <dc:creator>XF</dc:creator>
  <cp:lastModifiedBy>規遠齋</cp:lastModifiedBy>
  <cp:lastPrinted>2026-01-12T11:53:00Z</cp:lastPrinted>
  <dcterms:modified xsi:type="dcterms:W3CDTF">2026-01-13T08:15:55Z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eyJoZGlkIjoiZjY4MGYxZmUzZTc0NWU1ZDlhMWI2MmQzOTE2Mjc1MjEiLCJ1c2VySWQiOiIzMjk3NDUyMDAifQ==</vt:lpwstr>
  </property>
  <property fmtid="{D5CDD505-2E9C-101B-9397-08002B2CF9AE}" pid="4" name="ICV">
    <vt:lpwstr>2F355134210142BFB68D6E011165A545_13</vt:lpwstr>
  </property>
</Properties>
</file>